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17DC0">
      <w:pPr>
        <w:pStyle w:val="2"/>
        <w:keepNext/>
        <w:keepLines/>
        <w:pageBreakBefore w:val="0"/>
        <w:widowControl w:val="0"/>
        <w:kinsoku/>
        <w:wordWrap/>
        <w:overflowPunct/>
        <w:topLinePunct w:val="0"/>
        <w:autoSpaceDE/>
        <w:autoSpaceDN/>
        <w:bidi w:val="0"/>
        <w:adjustRightInd/>
        <w:snapToGrid/>
        <w:spacing w:before="100" w:after="90" w:line="240" w:lineRule="auto"/>
        <w:jc w:val="center"/>
        <w:textAlignment w:val="auto"/>
        <w:rPr>
          <w:rFonts w:hint="eastAsia" w:ascii="黑体" w:eastAsia="黑体"/>
          <w:color w:val="auto"/>
          <w:sz w:val="28"/>
          <w:szCs w:val="32"/>
          <w:highlight w:val="none"/>
          <w:lang w:eastAsia="zh-CN"/>
        </w:rPr>
      </w:pPr>
      <w:bookmarkStart w:id="0" w:name="_Toc370333327"/>
      <w:bookmarkStart w:id="4" w:name="_GoBack"/>
      <w:r>
        <w:rPr>
          <w:rFonts w:hint="eastAsia" w:ascii="黑体" w:eastAsia="黑体"/>
          <w:color w:val="auto"/>
          <w:sz w:val="28"/>
          <w:szCs w:val="32"/>
          <w:highlight w:val="none"/>
          <w:lang w:eastAsia="zh-CN"/>
        </w:rPr>
        <w:t>市政·观璟项目渠道分销服务项目</w:t>
      </w:r>
    </w:p>
    <w:p w14:paraId="7B65EE38">
      <w:pPr>
        <w:pStyle w:val="2"/>
        <w:keepNext/>
        <w:keepLines/>
        <w:pageBreakBefore w:val="0"/>
        <w:widowControl w:val="0"/>
        <w:kinsoku/>
        <w:wordWrap/>
        <w:overflowPunct/>
        <w:topLinePunct w:val="0"/>
        <w:autoSpaceDE/>
        <w:autoSpaceDN/>
        <w:bidi w:val="0"/>
        <w:adjustRightInd/>
        <w:snapToGrid/>
        <w:spacing w:before="100" w:after="90" w:line="240" w:lineRule="auto"/>
        <w:jc w:val="center"/>
        <w:textAlignment w:val="auto"/>
        <w:rPr>
          <w:rFonts w:hint="eastAsia" w:ascii="黑体" w:eastAsia="黑体"/>
          <w:color w:val="auto"/>
          <w:sz w:val="28"/>
          <w:szCs w:val="32"/>
          <w:highlight w:val="none"/>
        </w:rPr>
      </w:pPr>
      <w:r>
        <w:rPr>
          <w:rFonts w:hint="eastAsia" w:ascii="黑体" w:eastAsia="黑体"/>
          <w:color w:val="auto"/>
          <w:sz w:val="28"/>
          <w:szCs w:val="32"/>
          <w:highlight w:val="none"/>
        </w:rPr>
        <w:t>招标公告</w:t>
      </w:r>
    </w:p>
    <w:p w14:paraId="7C0C715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本招标项目</w:t>
      </w:r>
      <w:r>
        <w:rPr>
          <w:rFonts w:hint="eastAsia" w:ascii="宋体" w:hAnsi="宋体" w:cs="宋体"/>
          <w:color w:val="auto"/>
          <w:kern w:val="0"/>
          <w:sz w:val="24"/>
          <w:highlight w:val="none"/>
          <w:u w:val="single"/>
          <w:lang w:eastAsia="zh-CN"/>
        </w:rPr>
        <w:t>市政·观璟项目渠道分销服务项目</w:t>
      </w:r>
      <w:r>
        <w:rPr>
          <w:rFonts w:hint="eastAsia" w:ascii="宋体" w:hAnsi="宋体" w:cs="宋体"/>
          <w:color w:val="auto"/>
          <w:kern w:val="0"/>
          <w:sz w:val="24"/>
          <w:highlight w:val="none"/>
        </w:rPr>
        <w:t>已由</w:t>
      </w:r>
      <w:r>
        <w:rPr>
          <w:rFonts w:hint="eastAsia" w:ascii="宋体" w:hAnsi="宋体" w:cs="宋体"/>
          <w:color w:val="auto"/>
          <w:kern w:val="0"/>
          <w:sz w:val="24"/>
          <w:highlight w:val="none"/>
          <w:u w:val="single"/>
        </w:rPr>
        <w:t>广建（广州）地产开发有限公司</w:t>
      </w:r>
      <w:r>
        <w:rPr>
          <w:rFonts w:hint="eastAsia" w:ascii="宋体" w:hAnsi="宋体" w:cs="宋体"/>
          <w:color w:val="auto"/>
          <w:kern w:val="0"/>
          <w:sz w:val="24"/>
          <w:highlight w:val="none"/>
        </w:rPr>
        <w:t>批准，项目业主为</w:t>
      </w:r>
      <w:r>
        <w:rPr>
          <w:rFonts w:hint="eastAsia" w:ascii="宋体" w:hAnsi="宋体" w:cs="宋体"/>
          <w:color w:val="auto"/>
          <w:kern w:val="0"/>
          <w:sz w:val="24"/>
          <w:highlight w:val="none"/>
          <w:u w:val="single"/>
        </w:rPr>
        <w:t>广建（广州）地产开发有限公司</w:t>
      </w:r>
      <w:r>
        <w:rPr>
          <w:rFonts w:hint="eastAsia" w:ascii="宋体" w:hAnsi="宋体" w:cs="宋体"/>
          <w:color w:val="auto"/>
          <w:kern w:val="0"/>
          <w:sz w:val="24"/>
          <w:highlight w:val="none"/>
        </w:rPr>
        <w:t>，招标人为</w:t>
      </w:r>
      <w:r>
        <w:rPr>
          <w:rFonts w:hint="eastAsia" w:ascii="宋体" w:hAnsi="宋体" w:cs="宋体"/>
          <w:color w:val="auto"/>
          <w:kern w:val="0"/>
          <w:sz w:val="24"/>
          <w:highlight w:val="none"/>
          <w:u w:val="single"/>
        </w:rPr>
        <w:t>广建（广州）地产开发有限公司</w:t>
      </w:r>
      <w:r>
        <w:rPr>
          <w:rFonts w:hint="eastAsia" w:ascii="宋体" w:hAnsi="宋体" w:cs="宋体"/>
          <w:color w:val="auto"/>
          <w:kern w:val="0"/>
          <w:sz w:val="24"/>
          <w:highlight w:val="none"/>
        </w:rPr>
        <w:t>。项目已具备招标条件，现委托</w:t>
      </w:r>
      <w:r>
        <w:rPr>
          <w:rFonts w:hint="eastAsia" w:ascii="宋体" w:hAnsi="宋体" w:cs="宋体"/>
          <w:color w:val="auto"/>
          <w:kern w:val="0"/>
          <w:sz w:val="24"/>
          <w:highlight w:val="none"/>
          <w:u w:val="single"/>
        </w:rPr>
        <w:t>广州市市政工程监理有限公司</w:t>
      </w:r>
      <w:r>
        <w:rPr>
          <w:rFonts w:hint="eastAsia" w:ascii="宋体" w:hAnsi="宋体" w:cs="宋体"/>
          <w:color w:val="auto"/>
          <w:kern w:val="0"/>
          <w:sz w:val="24"/>
          <w:highlight w:val="none"/>
        </w:rPr>
        <w:t>进行公开招标。</w:t>
      </w:r>
    </w:p>
    <w:p w14:paraId="4CB28159">
      <w:pPr>
        <w:pStyle w:val="6"/>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auto"/>
        <w:rPr>
          <w:rFonts w:hint="eastAsia"/>
          <w:color w:val="auto"/>
          <w:highlight w:val="none"/>
        </w:rPr>
      </w:pPr>
      <w:r>
        <w:rPr>
          <w:color w:val="auto"/>
          <w:highlight w:val="none"/>
        </w:rPr>
        <w:t>招标人：</w:t>
      </w:r>
      <w:r>
        <w:rPr>
          <w:rFonts w:hint="eastAsia" w:ascii="宋体" w:hAnsi="宋体" w:cs="宋体"/>
          <w:color w:val="auto"/>
          <w:kern w:val="0"/>
          <w:sz w:val="24"/>
          <w:highlight w:val="none"/>
          <w:u w:val="none"/>
        </w:rPr>
        <w:t>广建（广州）地产开发有限公司</w:t>
      </w:r>
    </w:p>
    <w:p w14:paraId="4A035E98">
      <w:pPr>
        <w:pStyle w:val="6"/>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auto"/>
        <w:rPr>
          <w:rFonts w:hint="eastAsia"/>
          <w:color w:val="auto"/>
          <w:highlight w:val="none"/>
        </w:rPr>
      </w:pPr>
      <w:r>
        <w:rPr>
          <w:rFonts w:hint="eastAsia"/>
          <w:color w:val="auto"/>
          <w:highlight w:val="none"/>
        </w:rPr>
        <w:t>招标代理机构：广州市市政工程监理有限公司</w:t>
      </w:r>
    </w:p>
    <w:p w14:paraId="1F7CBAB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auto"/>
        <w:rPr>
          <w:rFonts w:hint="eastAsia" w:eastAsia="宋体"/>
          <w:color w:val="auto"/>
          <w:highlight w:val="none"/>
          <w:lang w:eastAsia="zh-CN"/>
        </w:rPr>
      </w:pPr>
      <w:r>
        <w:rPr>
          <w:rFonts w:hint="eastAsia"/>
          <w:color w:val="auto"/>
          <w:highlight w:val="none"/>
        </w:rPr>
        <w:t>3．</w:t>
      </w:r>
      <w:r>
        <w:rPr>
          <w:color w:val="auto"/>
          <w:highlight w:val="none"/>
        </w:rPr>
        <w:t>项目名称：</w:t>
      </w:r>
      <w:r>
        <w:rPr>
          <w:rFonts w:hint="eastAsia"/>
          <w:color w:val="auto"/>
          <w:highlight w:val="none"/>
          <w:lang w:eastAsia="zh-CN"/>
        </w:rPr>
        <w:t>市政·观璟项目渠道分销服务项目</w:t>
      </w:r>
    </w:p>
    <w:p w14:paraId="4FC990D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kern w:val="0"/>
          <w:sz w:val="24"/>
          <w:highlight w:val="none"/>
          <w:lang w:eastAsia="zh-CN"/>
        </w:rPr>
      </w:pPr>
      <w:r>
        <w:rPr>
          <w:rFonts w:hint="eastAsia" w:ascii="宋体" w:hAnsi="宋体" w:cs="宋体"/>
          <w:color w:val="auto"/>
          <w:sz w:val="24"/>
          <w:highlight w:val="none"/>
        </w:rPr>
        <w:t>4．</w:t>
      </w:r>
      <w:r>
        <w:rPr>
          <w:rFonts w:hint="eastAsia" w:ascii="宋体" w:hAnsi="宋体" w:cs="宋体"/>
          <w:color w:val="auto"/>
          <w:sz w:val="24"/>
          <w:highlight w:val="none"/>
          <w:lang w:eastAsia="zh-CN"/>
        </w:rPr>
        <w:t>服务内容：</w:t>
      </w:r>
      <w:r>
        <w:rPr>
          <w:rFonts w:hint="eastAsia" w:ascii="宋体" w:hAnsi="宋体" w:cs="宋体"/>
          <w:color w:val="auto"/>
          <w:kern w:val="0"/>
          <w:sz w:val="24"/>
          <w:highlight w:val="none"/>
          <w:lang w:eastAsia="zh-CN"/>
        </w:rPr>
        <w:t>市政·观璟项目渠道分销服务项目，通过初步评审方式确定的单位成为市政·观璟项目渠道分销服务项目服务单位。</w:t>
      </w:r>
    </w:p>
    <w:p w14:paraId="144184A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服务有效期：</w:t>
      </w:r>
      <w:r>
        <w:rPr>
          <w:rFonts w:hint="default" w:ascii="宋体" w:hAnsi="宋体" w:cs="宋体"/>
          <w:color w:val="auto"/>
          <w:sz w:val="24"/>
          <w:highlight w:val="none"/>
          <w:lang w:val="en-US" w:eastAsia="zh-CN"/>
        </w:rPr>
        <w:t>1</w:t>
      </w:r>
      <w:r>
        <w:rPr>
          <w:rFonts w:hint="eastAsia" w:ascii="宋体" w:hAnsi="宋体" w:cs="宋体"/>
          <w:color w:val="auto"/>
          <w:sz w:val="24"/>
          <w:highlight w:val="none"/>
          <w:lang w:val="en-US" w:eastAsia="zh-CN"/>
        </w:rPr>
        <w:t>年，本次公开招标的渠道分销服务合格服务单位服务有效期:</w:t>
      </w:r>
      <w:r>
        <w:rPr>
          <w:rFonts w:hint="default" w:ascii="宋体" w:hAnsi="宋体" w:cs="宋体"/>
          <w:color w:val="auto"/>
          <w:sz w:val="24"/>
          <w:highlight w:val="none"/>
          <w:lang w:val="en-US" w:eastAsia="zh-CN"/>
        </w:rPr>
        <w:t>1</w:t>
      </w:r>
      <w:r>
        <w:rPr>
          <w:rFonts w:hint="eastAsia" w:ascii="宋体" w:hAnsi="宋体" w:cs="宋体"/>
          <w:color w:val="auto"/>
          <w:sz w:val="24"/>
          <w:highlight w:val="none"/>
          <w:lang w:val="en-US" w:eastAsia="zh-CN"/>
        </w:rPr>
        <w:t>年。即：</w:t>
      </w:r>
    </w:p>
    <w:p w14:paraId="29B05B8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5.1 招标人与所有通过初步评审的合格服务单位签订《渠道分销服务协议》。</w:t>
      </w:r>
    </w:p>
    <w:p w14:paraId="69B15888">
      <w:pPr>
        <w:pStyle w:val="6"/>
        <w:spacing w:before="0" w:beforeAutospacing="0" w:after="0" w:afterAutospacing="0" w:line="360" w:lineRule="auto"/>
        <w:ind w:firstLine="480" w:firstLineChars="200"/>
        <w:jc w:val="both"/>
        <w:rPr>
          <w:color w:val="auto"/>
          <w:highlight w:val="none"/>
        </w:rPr>
      </w:pPr>
      <w:r>
        <w:rPr>
          <w:rFonts w:hint="eastAsia"/>
          <w:color w:val="auto"/>
          <w:highlight w:val="none"/>
        </w:rPr>
        <w:t>详细规范请参阅招标文件中的项目要求。投标人必须就全部内容进行投标报价，不得缺漏。</w:t>
      </w:r>
    </w:p>
    <w:p w14:paraId="64568157">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highlight w:val="none"/>
        </w:rPr>
      </w:pPr>
      <w:r>
        <w:rPr>
          <w:rFonts w:hint="eastAsia" w:cs="宋体"/>
          <w:color w:val="auto"/>
          <w:kern w:val="0"/>
          <w:sz w:val="24"/>
          <w:szCs w:val="24"/>
          <w:highlight w:val="none"/>
          <w:lang w:val="en-US" w:eastAsia="zh-CN" w:bidi="ar-SA"/>
        </w:rPr>
        <w:t>6</w:t>
      </w:r>
      <w:r>
        <w:rPr>
          <w:rFonts w:hint="eastAsia" w:ascii="宋体" w:hAnsi="宋体" w:eastAsia="宋体" w:cs="宋体"/>
          <w:color w:val="auto"/>
          <w:kern w:val="0"/>
          <w:sz w:val="24"/>
          <w:szCs w:val="24"/>
          <w:highlight w:val="none"/>
          <w:lang w:val="en-US" w:eastAsia="zh-CN" w:bidi="ar-SA"/>
        </w:rPr>
        <w:t>.</w:t>
      </w:r>
      <w:r>
        <w:rPr>
          <w:color w:val="auto"/>
          <w:highlight w:val="none"/>
        </w:rPr>
        <w:t>项目地址</w:t>
      </w:r>
      <w:r>
        <w:rPr>
          <w:rFonts w:hint="eastAsia"/>
          <w:color w:val="auto"/>
          <w:highlight w:val="none"/>
        </w:rPr>
        <w:t>:广州市</w:t>
      </w:r>
      <w:r>
        <w:rPr>
          <w:rFonts w:hint="eastAsia" w:ascii="宋体" w:hAnsi="宋体" w:cs="宋体"/>
          <w:color w:val="auto"/>
          <w:kern w:val="0"/>
          <w:sz w:val="24"/>
          <w:highlight w:val="none"/>
        </w:rPr>
        <w:t>花都区</w:t>
      </w:r>
      <w:r>
        <w:rPr>
          <w:rFonts w:hint="eastAsia"/>
          <w:color w:val="auto"/>
          <w:highlight w:val="none"/>
        </w:rPr>
        <w:t>。</w:t>
      </w:r>
    </w:p>
    <w:p w14:paraId="65141BD2">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highlight w:val="none"/>
        </w:rPr>
      </w:pPr>
      <w:r>
        <w:rPr>
          <w:rFonts w:hint="eastAsia"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en-US" w:eastAsia="zh-CN" w:bidi="ar-SA"/>
        </w:rPr>
        <w:t>.</w:t>
      </w:r>
      <w:r>
        <w:rPr>
          <w:rFonts w:hint="eastAsia"/>
          <w:color w:val="auto"/>
          <w:highlight w:val="none"/>
          <w:u w:val="none"/>
          <w:lang w:val="en-US" w:eastAsia="zh-CN"/>
        </w:rPr>
        <w:t>资金来源：</w:t>
      </w:r>
      <w:r>
        <w:rPr>
          <w:rFonts w:hint="eastAsia"/>
          <w:color w:val="auto"/>
          <w:highlight w:val="none"/>
          <w:u w:val="single"/>
          <w:lang w:val="en-US" w:eastAsia="zh-CN"/>
        </w:rPr>
        <w:t>企业自筹资金。</w:t>
      </w:r>
    </w:p>
    <w:p w14:paraId="01DA0C6F">
      <w:pPr>
        <w:spacing w:line="360" w:lineRule="exact"/>
        <w:ind w:firstLine="480" w:firstLineChars="200"/>
        <w:rPr>
          <w:rFonts w:hint="eastAsia" w:ascii="宋体" w:hAnsi="宋体" w:eastAsia="宋体" w:cs="宋体"/>
          <w:color w:val="auto"/>
          <w:sz w:val="24"/>
          <w:szCs w:val="24"/>
          <w:highlight w:val="none"/>
          <w:u w:val="single"/>
        </w:rPr>
      </w:pPr>
      <w:r>
        <w:rPr>
          <w:rFonts w:hint="eastAsia"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en-US" w:eastAsia="zh-CN" w:bidi="ar-SA"/>
        </w:rPr>
        <w:t>.</w:t>
      </w:r>
      <w:r>
        <w:rPr>
          <w:rFonts w:hint="eastAsia" w:ascii="宋体" w:hAnsi="宋体" w:eastAsia="宋体" w:cs="宋体"/>
          <w:color w:val="auto"/>
          <w:sz w:val="24"/>
          <w:szCs w:val="24"/>
          <w:highlight w:val="none"/>
        </w:rPr>
        <w:t>本项目招标控制价：</w:t>
      </w:r>
      <w:r>
        <w:rPr>
          <w:rFonts w:hint="eastAsia" w:ascii="宋体" w:hAnsi="宋体" w:eastAsia="宋体" w:cs="宋体"/>
          <w:color w:val="auto"/>
          <w:sz w:val="24"/>
          <w:szCs w:val="24"/>
          <w:highlight w:val="none"/>
          <w:u w:val="single"/>
        </w:rPr>
        <w:t>本项目</w:t>
      </w:r>
      <w:bookmarkStart w:id="1" w:name="_Hlk217039254"/>
      <w:r>
        <w:rPr>
          <w:rFonts w:hint="eastAsia" w:ascii="宋体" w:hAnsi="宋体" w:eastAsia="宋体" w:cs="宋体"/>
          <w:color w:val="auto"/>
          <w:sz w:val="24"/>
          <w:szCs w:val="24"/>
          <w:highlight w:val="none"/>
          <w:u w:val="single"/>
        </w:rPr>
        <w:t>佣金费率</w:t>
      </w:r>
      <w:bookmarkEnd w:id="1"/>
      <w:r>
        <w:rPr>
          <w:rFonts w:hint="eastAsia" w:ascii="宋体" w:hAnsi="宋体" w:eastAsia="宋体" w:cs="宋体"/>
          <w:color w:val="auto"/>
          <w:sz w:val="24"/>
          <w:szCs w:val="24"/>
          <w:highlight w:val="none"/>
          <w:u w:val="single"/>
        </w:rPr>
        <w:t>详见下表：</w:t>
      </w:r>
    </w:p>
    <w:tbl>
      <w:tblPr>
        <w:tblStyle w:val="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3"/>
        <w:gridCol w:w="2350"/>
        <w:gridCol w:w="2350"/>
        <w:gridCol w:w="1356"/>
      </w:tblGrid>
      <w:tr w14:paraId="0276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365" w:type="dxa"/>
            <w:tcBorders>
              <w:top w:val="single" w:color="auto" w:sz="4" w:space="0"/>
              <w:left w:val="single" w:color="auto" w:sz="4" w:space="0"/>
              <w:bottom w:val="single" w:color="auto" w:sz="4" w:space="0"/>
              <w:right w:val="single" w:color="auto" w:sz="4" w:space="0"/>
            </w:tcBorders>
            <w:noWrap w:val="0"/>
            <w:vAlign w:val="center"/>
          </w:tcPr>
          <w:p w14:paraId="1E2C2C96">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项目名称</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38606965">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每月成交单元</w:t>
            </w:r>
            <w:r>
              <w:rPr>
                <w:rFonts w:hint="eastAsia" w:ascii="宋体" w:hAnsi="宋体" w:eastAsia="宋体" w:cs="宋体"/>
                <w:color w:val="auto"/>
                <w:kern w:val="0"/>
                <w:sz w:val="24"/>
                <w:szCs w:val="24"/>
                <w:highlight w:val="none"/>
              </w:rPr>
              <w:t>数量</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79845879">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成交服务费</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506096E2">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w:t>
            </w:r>
          </w:p>
        </w:tc>
      </w:tr>
      <w:tr w14:paraId="55C0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65" w:type="dxa"/>
            <w:vMerge w:val="restart"/>
            <w:tcBorders>
              <w:top w:val="single" w:color="auto" w:sz="4" w:space="0"/>
              <w:left w:val="single" w:color="auto" w:sz="4" w:space="0"/>
              <w:bottom w:val="single" w:color="auto" w:sz="4" w:space="0"/>
              <w:right w:val="single" w:color="auto" w:sz="4" w:space="0"/>
            </w:tcBorders>
            <w:noWrap w:val="0"/>
            <w:vAlign w:val="center"/>
          </w:tcPr>
          <w:p w14:paraId="078B84AC">
            <w:pPr>
              <w:jc w:val="center"/>
              <w:rPr>
                <w:rFonts w:hint="eastAsia" w:ascii="宋体" w:hAnsi="宋体" w:eastAsia="宋体" w:cs="宋体"/>
                <w:b/>
                <w:bCs/>
                <w:color w:val="auto"/>
                <w:kern w:val="44"/>
                <w:sz w:val="24"/>
                <w:szCs w:val="24"/>
                <w:highlight w:val="none"/>
                <w:lang w:eastAsia="zh-CN"/>
              </w:rPr>
            </w:pPr>
            <w:r>
              <w:rPr>
                <w:rFonts w:hint="eastAsia" w:ascii="宋体" w:hAnsi="宋体" w:eastAsia="宋体" w:cs="宋体"/>
                <w:color w:val="auto"/>
                <w:kern w:val="0"/>
                <w:sz w:val="24"/>
                <w:szCs w:val="24"/>
                <w:highlight w:val="none"/>
                <w:lang w:eastAsia="zh-CN"/>
              </w:rPr>
              <w:t>市政·观璟项目渠道分销服务项目</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5C0825B2">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＜X</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0AEFD615">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7831321E">
            <w:pPr>
              <w:jc w:val="center"/>
              <w:rPr>
                <w:rFonts w:hint="eastAsia" w:ascii="宋体" w:hAnsi="宋体" w:eastAsia="宋体" w:cs="宋体"/>
                <w:color w:val="auto"/>
                <w:kern w:val="0"/>
                <w:sz w:val="24"/>
                <w:szCs w:val="24"/>
                <w:highlight w:val="none"/>
              </w:rPr>
            </w:pPr>
          </w:p>
        </w:tc>
      </w:tr>
      <w:tr w14:paraId="3937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2365" w:type="dxa"/>
            <w:vMerge w:val="continue"/>
            <w:tcBorders>
              <w:top w:val="single" w:color="auto" w:sz="4" w:space="0"/>
              <w:left w:val="single" w:color="auto" w:sz="4" w:space="0"/>
              <w:bottom w:val="single" w:color="auto" w:sz="4" w:space="0"/>
              <w:right w:val="single" w:color="auto" w:sz="4" w:space="0"/>
            </w:tcBorders>
            <w:noWrap w:val="0"/>
            <w:vAlign w:val="center"/>
          </w:tcPr>
          <w:p w14:paraId="1C585611">
            <w:pPr>
              <w:jc w:val="center"/>
              <w:rPr>
                <w:rFonts w:hint="eastAsia" w:ascii="宋体" w:hAnsi="宋体" w:eastAsia="宋体" w:cs="宋体"/>
                <w:color w:val="auto"/>
                <w:kern w:val="0"/>
                <w:sz w:val="24"/>
                <w:szCs w:val="24"/>
                <w:highlight w:val="none"/>
              </w:rPr>
            </w:pPr>
          </w:p>
        </w:tc>
        <w:tc>
          <w:tcPr>
            <w:tcW w:w="2365" w:type="dxa"/>
            <w:tcBorders>
              <w:top w:val="single" w:color="auto" w:sz="4" w:space="0"/>
              <w:left w:val="single" w:color="auto" w:sz="4" w:space="0"/>
              <w:bottom w:val="single" w:color="auto" w:sz="4" w:space="0"/>
              <w:right w:val="single" w:color="auto" w:sz="4" w:space="0"/>
            </w:tcBorders>
            <w:noWrap w:val="0"/>
            <w:vAlign w:val="center"/>
          </w:tcPr>
          <w:p w14:paraId="062E4DE0">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≥X</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6B2A3D11">
            <w:pPr>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w:t>
            </w:r>
          </w:p>
        </w:tc>
        <w:tc>
          <w:tcPr>
            <w:tcW w:w="1363" w:type="dxa"/>
            <w:tcBorders>
              <w:top w:val="single" w:color="auto" w:sz="4" w:space="0"/>
              <w:left w:val="single" w:color="auto" w:sz="4" w:space="0"/>
              <w:bottom w:val="single" w:color="auto" w:sz="4" w:space="0"/>
              <w:right w:val="single" w:color="auto" w:sz="4" w:space="0"/>
            </w:tcBorders>
            <w:noWrap w:val="0"/>
            <w:vAlign w:val="center"/>
          </w:tcPr>
          <w:p w14:paraId="51804771">
            <w:pPr>
              <w:jc w:val="center"/>
              <w:rPr>
                <w:rFonts w:hint="eastAsia" w:ascii="宋体" w:hAnsi="宋体" w:eastAsia="宋体" w:cs="宋体"/>
                <w:color w:val="auto"/>
                <w:kern w:val="0"/>
                <w:sz w:val="24"/>
                <w:szCs w:val="24"/>
                <w:highlight w:val="none"/>
              </w:rPr>
            </w:pPr>
          </w:p>
        </w:tc>
      </w:tr>
    </w:tbl>
    <w:p w14:paraId="178085EC">
      <w:pPr>
        <w:spacing w:line="36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招标人与</w:t>
      </w:r>
      <w:bookmarkStart w:id="2" w:name="OLE_LINK4"/>
      <w:r>
        <w:rPr>
          <w:rFonts w:hint="eastAsia" w:ascii="宋体" w:hAnsi="宋体" w:eastAsia="宋体" w:cs="宋体"/>
          <w:color w:val="auto"/>
          <w:sz w:val="24"/>
          <w:szCs w:val="24"/>
          <w:highlight w:val="none"/>
          <w:u w:val="none"/>
        </w:rPr>
        <w:t>中标人</w:t>
      </w:r>
      <w:bookmarkEnd w:id="2"/>
      <w:r>
        <w:rPr>
          <w:rFonts w:hint="eastAsia" w:ascii="宋体" w:hAnsi="宋体" w:eastAsia="宋体" w:cs="宋体"/>
          <w:color w:val="auto"/>
          <w:sz w:val="24"/>
          <w:szCs w:val="24"/>
          <w:highlight w:val="none"/>
          <w:u w:val="none"/>
        </w:rPr>
        <w:t>一致同意根据中标人固定考核周期中标人佣金费率计算该周期的佣金。</w:t>
      </w:r>
      <w:bookmarkStart w:id="3" w:name="OLE_LINK6"/>
      <w:r>
        <w:rPr>
          <w:rFonts w:hint="eastAsia" w:ascii="宋体" w:hAnsi="宋体" w:eastAsia="宋体" w:cs="宋体"/>
          <w:color w:val="auto"/>
          <w:sz w:val="24"/>
          <w:szCs w:val="24"/>
          <w:highlight w:val="none"/>
          <w:u w:val="none"/>
        </w:rPr>
        <w:t>原则上以月度为考核周期</w:t>
      </w:r>
      <w:bookmarkEnd w:id="3"/>
      <w:r>
        <w:rPr>
          <w:rFonts w:hint="eastAsia" w:ascii="宋体" w:hAnsi="宋体" w:eastAsia="宋体" w:cs="宋体"/>
          <w:color w:val="auto"/>
          <w:sz w:val="24"/>
          <w:szCs w:val="24"/>
          <w:highlight w:val="none"/>
          <w:u w:val="none"/>
        </w:rPr>
        <w:t>，根据中标人当月推荐认购总套数对应的佣金费率计算该考核周期的佣金。如考核周期有变动，招标人以书面通知中标人。实际签订任务量X根据市场变化状况，在合同中进行约定。</w:t>
      </w:r>
    </w:p>
    <w:p w14:paraId="317D5208">
      <w:pPr>
        <w:spacing w:line="360" w:lineRule="exact"/>
        <w:ind w:firstLine="480" w:firstLineChars="200"/>
        <w:rPr>
          <w:rFonts w:hint="default" w:ascii="Times New Roman" w:hAnsi="Times New Roman" w:eastAsia="仿宋" w:cs="Times New Roman"/>
          <w:color w:val="auto"/>
          <w:sz w:val="32"/>
          <w:szCs w:val="32"/>
          <w:highlight w:val="none"/>
          <w:lang w:val="en-US" w:eastAsia="zh-CN"/>
        </w:rPr>
      </w:pPr>
      <w:r>
        <w:rPr>
          <w:rFonts w:hint="eastAsia" w:ascii="宋体" w:hAnsi="宋体" w:eastAsia="宋体" w:cs="宋体"/>
          <w:color w:val="auto"/>
          <w:sz w:val="24"/>
          <w:szCs w:val="24"/>
          <w:highlight w:val="none"/>
          <w:u w:val="none"/>
        </w:rPr>
        <w:t>招标人有权根据市场行情在项目执行过程中调整佣金费率，每阶段实际佣金费率及考核周期和服务内容具体以招标人书面通知为准。中标人应对此有充分的认识和服从。（具体以服务协议约定为准）</w:t>
      </w:r>
    </w:p>
    <w:p w14:paraId="156572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w:t>
      </w:r>
      <w:r>
        <w:rPr>
          <w:rFonts w:ascii="宋体" w:hAnsi="宋体" w:cs="宋体"/>
          <w:color w:val="auto"/>
          <w:kern w:val="0"/>
          <w:sz w:val="24"/>
          <w:highlight w:val="none"/>
        </w:rPr>
        <w:t>招标项目基本情况：</w:t>
      </w:r>
      <w:r>
        <w:rPr>
          <w:rFonts w:hint="eastAsia" w:ascii="宋体" w:hAnsi="宋体" w:cs="宋体"/>
          <w:color w:val="auto"/>
          <w:kern w:val="0"/>
          <w:sz w:val="24"/>
          <w:highlight w:val="none"/>
          <w:lang w:val="en-US" w:eastAsia="zh-CN"/>
        </w:rPr>
        <w:t>市政·观璟项目地处广州市花都区工业大道以北，广清高速以西，望亭路南侧，属于北站新城规划中大陵北片区，临近西部居住配套中心。项目地块属于花都区新华街道，为二类居住用地，总用地面积约9万平方米，可建设面积约5.5万平方米，容积率3.0，绿地率35%，总建筑面积约25万平方米，其中计容建筑面积约16.5万平方米，地下车库和地下设备用房建筑面积约7.6万平方米。项目含10栋住宅，配备1栋幼儿园，1栋托儿所。项目在售1号楼及2号楼为二梯五户，T5户型。</w:t>
      </w:r>
    </w:p>
    <w:p w14:paraId="6D4BAB8A">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cs="宋体"/>
          <w:color w:val="auto"/>
          <w:highlight w:val="none"/>
          <w:lang w:val="en-US" w:eastAsia="zh-CN"/>
        </w:rPr>
        <w:t>10</w:t>
      </w:r>
      <w:r>
        <w:rPr>
          <w:rFonts w:hint="eastAsia" w:ascii="宋体" w:hAnsi="宋体" w:eastAsia="宋体" w:cs="宋体"/>
          <w:color w:val="auto"/>
          <w:highlight w:val="none"/>
        </w:rPr>
        <w:t>．投标登记及购买招标文件：</w:t>
      </w:r>
    </w:p>
    <w:p w14:paraId="2BF49494">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投标登记及领取招标文件时间：</w:t>
      </w:r>
      <w:r>
        <w:rPr>
          <w:rFonts w:hint="eastAsia" w:ascii="宋体" w:hAnsi="宋体" w:eastAsia="宋体" w:cs="宋体"/>
          <w:b/>
          <w:bCs/>
          <w:color w:val="auto"/>
          <w:highlight w:val="none"/>
        </w:rPr>
        <w:t>2026年8月</w:t>
      </w:r>
      <w:r>
        <w:rPr>
          <w:rFonts w:hint="eastAsia" w:cs="宋体"/>
          <w:b/>
          <w:bCs/>
          <w:color w:val="auto"/>
          <w:highlight w:val="none"/>
          <w:lang w:val="en-US" w:eastAsia="zh-CN"/>
        </w:rPr>
        <w:t>5</w:t>
      </w:r>
      <w:r>
        <w:rPr>
          <w:rFonts w:hint="eastAsia" w:ascii="宋体" w:hAnsi="宋体" w:eastAsia="宋体" w:cs="宋体"/>
          <w:b/>
          <w:bCs/>
          <w:color w:val="auto"/>
          <w:highlight w:val="none"/>
        </w:rPr>
        <w:t>日至2026年8月1</w:t>
      </w:r>
      <w:r>
        <w:rPr>
          <w:rFonts w:hint="eastAsia" w:cs="宋体"/>
          <w:b/>
          <w:bCs/>
          <w:color w:val="auto"/>
          <w:highlight w:val="none"/>
          <w:lang w:val="en-US" w:eastAsia="zh-CN"/>
        </w:rPr>
        <w:t>4</w:t>
      </w:r>
      <w:r>
        <w:rPr>
          <w:rFonts w:hint="eastAsia" w:ascii="宋体" w:hAnsi="宋体" w:eastAsia="宋体" w:cs="宋体"/>
          <w:b/>
          <w:bCs/>
          <w:color w:val="auto"/>
          <w:highlight w:val="none"/>
        </w:rPr>
        <w:t>日期间（上午09:30至11:30,下午14:00至17:00</w:t>
      </w:r>
      <w:r>
        <w:rPr>
          <w:rFonts w:hint="eastAsia" w:ascii="宋体" w:hAnsi="宋体" w:eastAsia="宋体" w:cs="宋体"/>
          <w:color w:val="auto"/>
          <w:highlight w:val="none"/>
        </w:rPr>
        <w:t>，（法定节假日除外）投标登记及购买招标文件，招标文件每套售价500元（人民币），售后不退。</w:t>
      </w:r>
    </w:p>
    <w:p w14:paraId="71415137">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（一）投标登记方式：现场投标登记或网络投标登记（以下任意一项均可）：</w:t>
      </w:r>
    </w:p>
    <w:p w14:paraId="03D66415">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（1）现场投标登记：投标登记时请提交营业执照复印件</w:t>
      </w:r>
      <w:r>
        <w:rPr>
          <w:rFonts w:hint="eastAsia" w:ascii="宋体" w:hAnsi="宋体" w:eastAsia="宋体" w:cs="宋体"/>
          <w:b/>
          <w:bCs/>
          <w:color w:val="auto"/>
          <w:highlight w:val="none"/>
        </w:rPr>
        <w:t>（加盖公章）</w:t>
      </w:r>
      <w:r>
        <w:rPr>
          <w:rFonts w:hint="eastAsia" w:ascii="宋体" w:hAnsi="宋体" w:eastAsia="宋体" w:cs="宋体"/>
          <w:color w:val="auto"/>
          <w:highlight w:val="none"/>
        </w:rPr>
        <w:t>及投标登记申请表</w:t>
      </w:r>
      <w:r>
        <w:rPr>
          <w:rFonts w:hint="eastAsia" w:ascii="宋体" w:hAnsi="宋体" w:eastAsia="宋体" w:cs="宋体"/>
          <w:b/>
          <w:bCs/>
          <w:color w:val="auto"/>
          <w:highlight w:val="none"/>
        </w:rPr>
        <w:t>（加盖公章）</w:t>
      </w:r>
      <w:r>
        <w:rPr>
          <w:rFonts w:hint="eastAsia" w:ascii="宋体" w:hAnsi="宋体" w:eastAsia="宋体" w:cs="宋体"/>
          <w:color w:val="auto"/>
          <w:highlight w:val="none"/>
        </w:rPr>
        <w:t>（详见附件）。购买标书人员需携带法定代表人证明</w:t>
      </w:r>
      <w:r>
        <w:rPr>
          <w:rFonts w:hint="eastAsia" w:ascii="宋体" w:hAnsi="宋体" w:eastAsia="宋体" w:cs="宋体"/>
          <w:b/>
          <w:bCs/>
          <w:color w:val="auto"/>
          <w:highlight w:val="none"/>
        </w:rPr>
        <w:t>（加盖公章）</w:t>
      </w:r>
      <w:r>
        <w:rPr>
          <w:rFonts w:hint="eastAsia" w:ascii="宋体" w:hAnsi="宋体" w:eastAsia="宋体" w:cs="宋体"/>
          <w:color w:val="auto"/>
          <w:highlight w:val="none"/>
        </w:rPr>
        <w:t>及授权委托书</w:t>
      </w:r>
      <w:r>
        <w:rPr>
          <w:rFonts w:hint="eastAsia" w:ascii="宋体" w:hAnsi="宋体" w:eastAsia="宋体" w:cs="宋体"/>
          <w:b/>
          <w:bCs/>
          <w:color w:val="auto"/>
          <w:highlight w:val="none"/>
        </w:rPr>
        <w:t>（加盖公章）</w:t>
      </w:r>
      <w:r>
        <w:rPr>
          <w:rFonts w:hint="eastAsia" w:ascii="宋体" w:hAnsi="宋体" w:eastAsia="宋体" w:cs="宋体"/>
          <w:color w:val="auto"/>
          <w:highlight w:val="none"/>
        </w:rPr>
        <w:t>（如法定代表人亲自前往购买标书则无需提供授权委托书）至广州市市政工程监理有限公司（详细地址：广州市越秀区东风中路437号越秀城市广场南塔38楼招标代理部）进行现场登记。</w:t>
      </w:r>
    </w:p>
    <w:p w14:paraId="5979AC29">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（2）网络投标登记：将营业执照复印件</w:t>
      </w:r>
      <w:r>
        <w:rPr>
          <w:rFonts w:hint="eastAsia" w:ascii="宋体" w:hAnsi="宋体" w:eastAsia="宋体" w:cs="宋体"/>
          <w:b/>
          <w:bCs/>
          <w:color w:val="auto"/>
          <w:highlight w:val="none"/>
        </w:rPr>
        <w:t>（加盖公章）</w:t>
      </w:r>
      <w:r>
        <w:rPr>
          <w:rFonts w:hint="eastAsia" w:ascii="宋体" w:hAnsi="宋体" w:eastAsia="宋体" w:cs="宋体"/>
          <w:color w:val="auto"/>
          <w:highlight w:val="none"/>
        </w:rPr>
        <w:t>及投标登记申请表</w:t>
      </w:r>
      <w:r>
        <w:rPr>
          <w:rFonts w:hint="eastAsia" w:ascii="宋体" w:hAnsi="宋体" w:eastAsia="宋体" w:cs="宋体"/>
          <w:b/>
          <w:bCs/>
          <w:color w:val="auto"/>
          <w:highlight w:val="none"/>
        </w:rPr>
        <w:t>（加盖公章）</w:t>
      </w:r>
      <w:r>
        <w:rPr>
          <w:rFonts w:hint="eastAsia" w:ascii="宋体" w:hAnsi="宋体" w:eastAsia="宋体" w:cs="宋体"/>
          <w:color w:val="auto"/>
          <w:highlight w:val="none"/>
        </w:rPr>
        <w:t>（详见附件）、法定代表人证明</w:t>
      </w:r>
      <w:r>
        <w:rPr>
          <w:rFonts w:hint="eastAsia" w:ascii="宋体" w:hAnsi="宋体" w:eastAsia="宋体" w:cs="宋体"/>
          <w:b/>
          <w:bCs/>
          <w:color w:val="auto"/>
          <w:highlight w:val="none"/>
        </w:rPr>
        <w:t>（加盖公章）</w:t>
      </w:r>
      <w:r>
        <w:rPr>
          <w:rFonts w:hint="eastAsia" w:ascii="宋体" w:hAnsi="宋体" w:eastAsia="宋体" w:cs="宋体"/>
          <w:color w:val="auto"/>
          <w:highlight w:val="none"/>
        </w:rPr>
        <w:t>及授权委托书</w:t>
      </w:r>
      <w:r>
        <w:rPr>
          <w:rFonts w:hint="eastAsia" w:ascii="宋体" w:hAnsi="宋体" w:eastAsia="宋体" w:cs="宋体"/>
          <w:b/>
          <w:bCs/>
          <w:color w:val="auto"/>
          <w:highlight w:val="none"/>
        </w:rPr>
        <w:t>（加盖公章）</w:t>
      </w:r>
      <w:r>
        <w:rPr>
          <w:rFonts w:hint="eastAsia" w:ascii="宋体" w:hAnsi="宋体" w:eastAsia="宋体" w:cs="宋体"/>
          <w:color w:val="auto"/>
          <w:highlight w:val="none"/>
        </w:rPr>
        <w:t>、招标文件资料费缴款凭证，上述所有资料的扫描件，作为邮件附件，发送至以下邮箱：1442388573@qq.com，待招标代理机构确认投标人信息后即完成投标登记。</w:t>
      </w:r>
    </w:p>
    <w:p w14:paraId="66A87B42">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（二）招标文件资料费汇入：</w:t>
      </w:r>
    </w:p>
    <w:p w14:paraId="1DFBE1BC">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收款单位：广州市市政工程监理有限公司</w:t>
      </w:r>
    </w:p>
    <w:p w14:paraId="3498DEEC">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开户银行：中国建设银行广州市东环支行</w:t>
      </w:r>
    </w:p>
    <w:p w14:paraId="5AFF8BDA">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账号：44001491201050477825</w:t>
      </w:r>
    </w:p>
    <w:p w14:paraId="5FFDE93C">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并请注明事由：投标人名称+市政·观璟项目渠道分销服务项目招标文件资料费。</w:t>
      </w:r>
    </w:p>
    <w:p w14:paraId="232E62F5">
      <w:pPr>
        <w:pStyle w:val="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rPr>
        <w:t>招标代理机构可提供招标文件快递服务。</w:t>
      </w:r>
    </w:p>
    <w:p w14:paraId="34537367">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highlight w:val="none"/>
        </w:rPr>
      </w:pPr>
      <w:r>
        <w:rPr>
          <w:rFonts w:hint="eastAsia"/>
          <w:color w:val="auto"/>
          <w:highlight w:val="none"/>
        </w:rPr>
        <w:t>1</w:t>
      </w:r>
      <w:r>
        <w:rPr>
          <w:rFonts w:hint="eastAsia"/>
          <w:color w:val="auto"/>
          <w:highlight w:val="none"/>
          <w:lang w:val="en-US" w:eastAsia="zh-CN"/>
        </w:rPr>
        <w:t>1</w:t>
      </w:r>
      <w:r>
        <w:rPr>
          <w:rFonts w:hint="eastAsia"/>
          <w:color w:val="auto"/>
          <w:highlight w:val="none"/>
        </w:rPr>
        <w:t>．</w:t>
      </w:r>
      <w:r>
        <w:rPr>
          <w:rFonts w:hint="eastAsia" w:asciiTheme="majorEastAsia" w:hAnsiTheme="majorEastAsia" w:eastAsiaTheme="majorEastAsia" w:cstheme="majorEastAsia"/>
          <w:b/>
          <w:bCs/>
          <w:color w:val="auto"/>
          <w:sz w:val="24"/>
          <w:highlight w:val="none"/>
        </w:rPr>
        <w:t xml:space="preserve">投标文件递交的开始时间: </w:t>
      </w:r>
      <w:r>
        <w:rPr>
          <w:rFonts w:hint="eastAsia" w:asciiTheme="majorEastAsia" w:hAnsiTheme="majorEastAsia" w:eastAsiaTheme="majorEastAsia" w:cstheme="majorEastAsia"/>
          <w:b/>
          <w:bCs/>
          <w:color w:val="auto"/>
          <w:sz w:val="24"/>
          <w:highlight w:val="none"/>
          <w:lang w:eastAsia="zh-CN"/>
        </w:rPr>
        <w:t>2026年</w:t>
      </w:r>
      <w:r>
        <w:rPr>
          <w:rFonts w:hint="eastAsia" w:asciiTheme="majorEastAsia" w:hAnsiTheme="majorEastAsia" w:eastAsiaTheme="majorEastAsia" w:cstheme="majorEastAsia"/>
          <w:b/>
          <w:bCs/>
          <w:color w:val="auto"/>
          <w:sz w:val="24"/>
          <w:highlight w:val="none"/>
          <w:u w:val="none"/>
          <w:lang w:val="en-US" w:eastAsia="zh-CN"/>
        </w:rPr>
        <w:t>9</w:t>
      </w:r>
      <w:r>
        <w:rPr>
          <w:rFonts w:hint="eastAsia" w:asciiTheme="majorEastAsia" w:hAnsiTheme="majorEastAsia" w:eastAsiaTheme="majorEastAsia" w:cstheme="majorEastAsia"/>
          <w:b/>
          <w:bCs/>
          <w:color w:val="auto"/>
          <w:sz w:val="24"/>
          <w:highlight w:val="none"/>
          <w:u w:val="none"/>
        </w:rPr>
        <w:t>月</w:t>
      </w:r>
      <w:r>
        <w:rPr>
          <w:rFonts w:hint="eastAsia" w:asciiTheme="majorEastAsia" w:hAnsiTheme="majorEastAsia" w:eastAsiaTheme="majorEastAsia" w:cstheme="majorEastAsia"/>
          <w:b/>
          <w:bCs/>
          <w:color w:val="auto"/>
          <w:sz w:val="24"/>
          <w:highlight w:val="none"/>
          <w:u w:val="none"/>
          <w:lang w:val="en-US" w:eastAsia="zh-CN"/>
        </w:rPr>
        <w:t>1</w:t>
      </w:r>
      <w:r>
        <w:rPr>
          <w:rFonts w:hint="eastAsia" w:asciiTheme="majorEastAsia" w:hAnsiTheme="majorEastAsia" w:eastAsiaTheme="majorEastAsia" w:cstheme="majorEastAsia"/>
          <w:b/>
          <w:bCs/>
          <w:color w:val="auto"/>
          <w:sz w:val="24"/>
          <w:highlight w:val="none"/>
          <w:u w:val="none"/>
        </w:rPr>
        <w:t>日</w:t>
      </w:r>
      <w:r>
        <w:rPr>
          <w:rFonts w:hint="eastAsia" w:asciiTheme="majorEastAsia" w:hAnsiTheme="majorEastAsia" w:eastAsiaTheme="majorEastAsia" w:cstheme="majorEastAsia"/>
          <w:b/>
          <w:bCs/>
          <w:color w:val="auto"/>
          <w:sz w:val="24"/>
          <w:highlight w:val="none"/>
          <w:u w:val="none"/>
          <w:lang w:val="en-US" w:eastAsia="zh-CN"/>
        </w:rPr>
        <w:t xml:space="preserve">9 </w:t>
      </w:r>
      <w:r>
        <w:rPr>
          <w:rFonts w:hint="eastAsia" w:asciiTheme="majorEastAsia" w:hAnsiTheme="majorEastAsia" w:eastAsiaTheme="majorEastAsia" w:cstheme="majorEastAsia"/>
          <w:b/>
          <w:bCs/>
          <w:color w:val="auto"/>
          <w:sz w:val="24"/>
          <w:highlight w:val="none"/>
          <w:u w:val="none"/>
        </w:rPr>
        <w:t>时</w:t>
      </w:r>
      <w:r>
        <w:rPr>
          <w:rFonts w:hint="eastAsia" w:asciiTheme="majorEastAsia" w:hAnsiTheme="majorEastAsia" w:eastAsiaTheme="majorEastAsia" w:cstheme="majorEastAsia"/>
          <w:b/>
          <w:bCs/>
          <w:color w:val="auto"/>
          <w:sz w:val="24"/>
          <w:highlight w:val="none"/>
          <w:u w:val="none"/>
          <w:lang w:val="en-US" w:eastAsia="zh-CN"/>
        </w:rPr>
        <w:t>00</w:t>
      </w:r>
      <w:r>
        <w:rPr>
          <w:rFonts w:hint="eastAsia" w:asciiTheme="majorEastAsia" w:hAnsiTheme="majorEastAsia" w:eastAsiaTheme="majorEastAsia" w:cstheme="majorEastAsia"/>
          <w:b/>
          <w:bCs/>
          <w:color w:val="auto"/>
          <w:sz w:val="24"/>
          <w:highlight w:val="none"/>
          <w:u w:val="none"/>
        </w:rPr>
        <w:t>分</w:t>
      </w:r>
      <w:r>
        <w:rPr>
          <w:rFonts w:hint="eastAsia" w:asciiTheme="majorEastAsia" w:hAnsiTheme="majorEastAsia" w:eastAsiaTheme="majorEastAsia" w:cstheme="majorEastAsia"/>
          <w:b/>
          <w:bCs/>
          <w:color w:val="auto"/>
          <w:sz w:val="24"/>
          <w:highlight w:val="none"/>
          <w:lang w:eastAsia="zh-CN"/>
        </w:rPr>
        <w:t>，</w:t>
      </w:r>
      <w:r>
        <w:rPr>
          <w:b/>
          <w:bCs/>
          <w:color w:val="auto"/>
          <w:highlight w:val="none"/>
        </w:rPr>
        <w:t>投标截止时间：</w:t>
      </w:r>
      <w:r>
        <w:rPr>
          <w:rFonts w:hint="eastAsia"/>
          <w:b/>
          <w:bCs/>
          <w:color w:val="auto"/>
          <w:highlight w:val="none"/>
          <w:lang w:eastAsia="zh-CN"/>
        </w:rPr>
        <w:t>2026</w:t>
      </w:r>
      <w:r>
        <w:rPr>
          <w:rFonts w:hint="eastAsia"/>
          <w:b/>
          <w:bCs/>
          <w:color w:val="auto"/>
          <w:highlight w:val="none"/>
        </w:rPr>
        <w:t>年</w:t>
      </w:r>
      <w:r>
        <w:rPr>
          <w:rFonts w:hint="eastAsia"/>
          <w:b/>
          <w:bCs/>
          <w:color w:val="auto"/>
          <w:highlight w:val="none"/>
          <w:lang w:val="en-US" w:eastAsia="zh-CN"/>
        </w:rPr>
        <w:t>9</w:t>
      </w:r>
      <w:r>
        <w:rPr>
          <w:rFonts w:hint="eastAsia"/>
          <w:b/>
          <w:bCs/>
          <w:color w:val="auto"/>
          <w:highlight w:val="none"/>
        </w:rPr>
        <w:t>月</w:t>
      </w:r>
      <w:r>
        <w:rPr>
          <w:rFonts w:hint="eastAsia"/>
          <w:b/>
          <w:bCs/>
          <w:color w:val="auto"/>
          <w:highlight w:val="none"/>
          <w:lang w:val="en-US" w:eastAsia="zh-CN"/>
        </w:rPr>
        <w:t>1</w:t>
      </w:r>
      <w:r>
        <w:rPr>
          <w:b/>
          <w:bCs/>
          <w:color w:val="auto"/>
          <w:highlight w:val="none"/>
        </w:rPr>
        <w:t>日</w:t>
      </w:r>
      <w:r>
        <w:rPr>
          <w:rFonts w:hint="eastAsia"/>
          <w:b/>
          <w:bCs/>
          <w:color w:val="auto"/>
          <w:highlight w:val="none"/>
        </w:rPr>
        <w:t>9</w:t>
      </w:r>
      <w:r>
        <w:rPr>
          <w:rFonts w:hint="eastAsia" w:asciiTheme="majorEastAsia" w:hAnsiTheme="majorEastAsia" w:eastAsiaTheme="majorEastAsia" w:cstheme="majorEastAsia"/>
          <w:b/>
          <w:bCs/>
          <w:color w:val="auto"/>
          <w:sz w:val="24"/>
          <w:highlight w:val="none"/>
          <w:u w:val="none"/>
        </w:rPr>
        <w:t>时</w:t>
      </w:r>
      <w:r>
        <w:rPr>
          <w:rFonts w:hint="eastAsia"/>
          <w:b/>
          <w:bCs/>
          <w:color w:val="auto"/>
          <w:highlight w:val="none"/>
        </w:rPr>
        <w:t>3</w:t>
      </w:r>
      <w:r>
        <w:rPr>
          <w:b/>
          <w:bCs/>
          <w:color w:val="auto"/>
          <w:highlight w:val="none"/>
        </w:rPr>
        <w:t>0</w:t>
      </w:r>
      <w:r>
        <w:rPr>
          <w:rFonts w:hint="eastAsia"/>
          <w:b/>
          <w:bCs/>
          <w:color w:val="auto"/>
          <w:highlight w:val="none"/>
          <w:lang w:eastAsia="zh-CN"/>
        </w:rPr>
        <w:t>分</w:t>
      </w:r>
      <w:r>
        <w:rPr>
          <w:b/>
          <w:bCs/>
          <w:color w:val="auto"/>
          <w:highlight w:val="none"/>
        </w:rPr>
        <w:t>。</w:t>
      </w:r>
    </w:p>
    <w:p w14:paraId="2B3B6F49">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b/>
          <w:bCs/>
          <w:color w:val="auto"/>
          <w:highlight w:val="none"/>
        </w:rPr>
      </w:pPr>
      <w:r>
        <w:rPr>
          <w:rFonts w:hint="eastAsia"/>
          <w:color w:val="auto"/>
          <w:highlight w:val="none"/>
        </w:rPr>
        <w:t>1</w:t>
      </w:r>
      <w:r>
        <w:rPr>
          <w:rFonts w:hint="eastAsia"/>
          <w:color w:val="auto"/>
          <w:highlight w:val="none"/>
          <w:lang w:val="en-US" w:eastAsia="zh-CN"/>
        </w:rPr>
        <w:t>2</w:t>
      </w:r>
      <w:r>
        <w:rPr>
          <w:rFonts w:hint="eastAsia"/>
          <w:color w:val="auto"/>
          <w:highlight w:val="none"/>
        </w:rPr>
        <w:t>．</w:t>
      </w:r>
      <w:r>
        <w:rPr>
          <w:color w:val="auto"/>
          <w:highlight w:val="none"/>
        </w:rPr>
        <w:t>开标时间：</w:t>
      </w:r>
      <w:r>
        <w:rPr>
          <w:rFonts w:hint="eastAsia"/>
          <w:b/>
          <w:bCs/>
          <w:color w:val="auto"/>
          <w:highlight w:val="none"/>
          <w:lang w:eastAsia="zh-CN"/>
        </w:rPr>
        <w:t>2026</w:t>
      </w:r>
      <w:r>
        <w:rPr>
          <w:rFonts w:hint="eastAsia"/>
          <w:b/>
          <w:bCs/>
          <w:color w:val="auto"/>
          <w:highlight w:val="none"/>
        </w:rPr>
        <w:t>年</w:t>
      </w:r>
      <w:r>
        <w:rPr>
          <w:rFonts w:hint="eastAsia"/>
          <w:b/>
          <w:bCs/>
          <w:color w:val="auto"/>
          <w:highlight w:val="none"/>
          <w:lang w:val="en-US" w:eastAsia="zh-CN"/>
        </w:rPr>
        <w:t>9</w:t>
      </w:r>
      <w:r>
        <w:rPr>
          <w:rFonts w:hint="eastAsia"/>
          <w:b/>
          <w:bCs/>
          <w:color w:val="auto"/>
          <w:highlight w:val="none"/>
        </w:rPr>
        <w:t>月</w:t>
      </w:r>
      <w:r>
        <w:rPr>
          <w:rFonts w:hint="eastAsia"/>
          <w:b/>
          <w:bCs/>
          <w:color w:val="auto"/>
          <w:highlight w:val="none"/>
          <w:lang w:val="en-US" w:eastAsia="zh-CN"/>
        </w:rPr>
        <w:t>1</w:t>
      </w:r>
      <w:r>
        <w:rPr>
          <w:b/>
          <w:bCs/>
          <w:color w:val="auto"/>
          <w:highlight w:val="none"/>
        </w:rPr>
        <w:t>日</w:t>
      </w:r>
      <w:r>
        <w:rPr>
          <w:rFonts w:hint="eastAsia"/>
          <w:b/>
          <w:bCs/>
          <w:color w:val="auto"/>
          <w:highlight w:val="none"/>
        </w:rPr>
        <w:t>9</w:t>
      </w:r>
      <w:r>
        <w:rPr>
          <w:rFonts w:hint="eastAsia" w:asciiTheme="majorEastAsia" w:hAnsiTheme="majorEastAsia" w:eastAsiaTheme="majorEastAsia" w:cstheme="majorEastAsia"/>
          <w:b/>
          <w:bCs/>
          <w:color w:val="auto"/>
          <w:sz w:val="24"/>
          <w:highlight w:val="none"/>
          <w:u w:val="none"/>
        </w:rPr>
        <w:t>时</w:t>
      </w:r>
      <w:r>
        <w:rPr>
          <w:rFonts w:hint="eastAsia"/>
          <w:b/>
          <w:bCs/>
          <w:color w:val="auto"/>
          <w:highlight w:val="none"/>
        </w:rPr>
        <w:t>3</w:t>
      </w:r>
      <w:r>
        <w:rPr>
          <w:b/>
          <w:bCs/>
          <w:color w:val="auto"/>
          <w:highlight w:val="none"/>
        </w:rPr>
        <w:t>0</w:t>
      </w:r>
      <w:r>
        <w:rPr>
          <w:rFonts w:hint="eastAsia"/>
          <w:b/>
          <w:bCs/>
          <w:color w:val="auto"/>
          <w:highlight w:val="none"/>
          <w:lang w:eastAsia="zh-CN"/>
        </w:rPr>
        <w:t>分</w:t>
      </w:r>
      <w:r>
        <w:rPr>
          <w:b/>
          <w:bCs/>
          <w:color w:val="auto"/>
          <w:highlight w:val="none"/>
        </w:rPr>
        <w:t>。</w:t>
      </w:r>
    </w:p>
    <w:p w14:paraId="107658A2">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b/>
          <w:bCs/>
          <w:color w:val="auto"/>
          <w:highlight w:val="none"/>
        </w:rPr>
      </w:pPr>
      <w:r>
        <w:rPr>
          <w:rFonts w:hint="eastAsia"/>
          <w:color w:val="auto"/>
          <w:highlight w:val="none"/>
        </w:rPr>
        <w:t>1</w:t>
      </w:r>
      <w:r>
        <w:rPr>
          <w:rFonts w:hint="eastAsia"/>
          <w:color w:val="auto"/>
          <w:highlight w:val="none"/>
          <w:lang w:val="en-US" w:eastAsia="zh-CN"/>
        </w:rPr>
        <w:t>3</w:t>
      </w:r>
      <w:r>
        <w:rPr>
          <w:rFonts w:hint="eastAsia"/>
          <w:color w:val="auto"/>
          <w:highlight w:val="none"/>
        </w:rPr>
        <w:t>．开标地点：</w:t>
      </w:r>
      <w:r>
        <w:rPr>
          <w:rFonts w:hint="eastAsia"/>
          <w:b/>
          <w:bCs/>
          <w:color w:val="auto"/>
          <w:highlight w:val="none"/>
          <w:lang w:eastAsia="zh-CN"/>
        </w:rPr>
        <w:t>广州市越秀区东风中路437号越秀城市广场南塔20楼2002室。</w:t>
      </w:r>
      <w:r>
        <w:rPr>
          <w:rFonts w:hint="eastAsia"/>
          <w:b/>
          <w:bCs/>
          <w:color w:val="auto"/>
          <w:highlight w:val="none"/>
        </w:rPr>
        <w:t xml:space="preserve"> </w:t>
      </w:r>
    </w:p>
    <w:p w14:paraId="78DC779A">
      <w:pPr>
        <w:pStyle w:val="6"/>
        <w:spacing w:before="0" w:beforeAutospacing="0" w:after="0" w:afterAutospacing="0" w:line="360" w:lineRule="auto"/>
        <w:ind w:firstLine="480" w:firstLineChars="200"/>
        <w:jc w:val="both"/>
        <w:rPr>
          <w:rFonts w:hint="eastAsia"/>
          <w:color w:val="auto"/>
          <w:highlight w:val="none"/>
        </w:rPr>
      </w:pPr>
      <w:r>
        <w:rPr>
          <w:rFonts w:hint="eastAsia"/>
          <w:color w:val="auto"/>
          <w:highlight w:val="none"/>
        </w:rPr>
        <w:t>1</w:t>
      </w:r>
      <w:r>
        <w:rPr>
          <w:rFonts w:hint="eastAsia"/>
          <w:color w:val="auto"/>
          <w:highlight w:val="none"/>
          <w:lang w:val="en-US" w:eastAsia="zh-CN"/>
        </w:rPr>
        <w:t>4</w:t>
      </w:r>
      <w:r>
        <w:rPr>
          <w:rFonts w:hint="eastAsia"/>
          <w:color w:val="auto"/>
          <w:highlight w:val="none"/>
        </w:rPr>
        <w:t xml:space="preserve">．投标人资格要求： </w:t>
      </w:r>
    </w:p>
    <w:p w14:paraId="62CEAA92">
      <w:pPr>
        <w:pStyle w:val="6"/>
        <w:spacing w:before="0" w:beforeAutospacing="0" w:after="0" w:afterAutospacing="0" w:line="360" w:lineRule="auto"/>
        <w:ind w:firstLine="480" w:firstLineChars="200"/>
        <w:jc w:val="both"/>
        <w:rPr>
          <w:rFonts w:hint="eastAsia"/>
          <w:color w:val="auto"/>
          <w:highlight w:val="none"/>
        </w:rPr>
      </w:pPr>
      <w:r>
        <w:rPr>
          <w:rFonts w:hint="eastAsia"/>
          <w:color w:val="auto"/>
          <w:highlight w:val="none"/>
        </w:rPr>
        <w:t>1）投标人须具有独立法人资格按国家法律经营，且必须提供合法有效</w:t>
      </w:r>
      <w:r>
        <w:rPr>
          <w:rFonts w:hint="eastAsia"/>
          <w:b/>
          <w:bCs/>
          <w:color w:val="auto"/>
          <w:highlight w:val="none"/>
        </w:rPr>
        <w:t>的营业执照复印件</w:t>
      </w:r>
      <w:r>
        <w:rPr>
          <w:rFonts w:hint="eastAsia"/>
          <w:color w:val="auto"/>
          <w:highlight w:val="none"/>
        </w:rPr>
        <w:t>（不得以分公司、挂靠或个人身份参与）。</w:t>
      </w:r>
    </w:p>
    <w:p w14:paraId="222BFFBD">
      <w:pPr>
        <w:pStyle w:val="6"/>
        <w:spacing w:before="0" w:beforeAutospacing="0" w:after="0" w:afterAutospacing="0" w:line="360" w:lineRule="auto"/>
        <w:ind w:firstLine="480" w:firstLineChars="200"/>
        <w:jc w:val="both"/>
        <w:rPr>
          <w:rFonts w:hint="eastAsia"/>
          <w:color w:val="auto"/>
          <w:highlight w:val="none"/>
        </w:rPr>
      </w:pPr>
      <w:r>
        <w:rPr>
          <w:rFonts w:hint="eastAsia"/>
          <w:color w:val="auto"/>
          <w:highlight w:val="none"/>
          <w:lang w:val="en-US" w:eastAsia="zh-CN"/>
        </w:rPr>
        <w:t>2）投</w:t>
      </w:r>
      <w:r>
        <w:rPr>
          <w:rFonts w:hint="eastAsia"/>
          <w:color w:val="auto"/>
          <w:highlight w:val="none"/>
        </w:rPr>
        <w:t>标人具备房地产代理资质，提供有效期内</w:t>
      </w:r>
      <w:r>
        <w:rPr>
          <w:rFonts w:hint="eastAsia"/>
          <w:b/>
          <w:bCs/>
          <w:color w:val="auto"/>
          <w:highlight w:val="none"/>
        </w:rPr>
        <w:t>房地产中介服务机构备案证书</w:t>
      </w:r>
      <w:r>
        <w:rPr>
          <w:rFonts w:hint="eastAsia"/>
          <w:color w:val="auto"/>
          <w:highlight w:val="none"/>
        </w:rPr>
        <w:t>复印件。</w:t>
      </w:r>
    </w:p>
    <w:p w14:paraId="61D0FC1A">
      <w:pPr>
        <w:pStyle w:val="6"/>
        <w:spacing w:before="0" w:beforeAutospacing="0" w:after="0" w:afterAutospacing="0" w:line="360" w:lineRule="auto"/>
        <w:ind w:firstLine="480" w:firstLineChars="200"/>
        <w:jc w:val="both"/>
        <w:rPr>
          <w:rFonts w:hint="eastAsia"/>
          <w:color w:val="auto"/>
          <w:highlight w:val="none"/>
        </w:rPr>
      </w:pPr>
      <w:r>
        <w:rPr>
          <w:rFonts w:hint="eastAsia"/>
          <w:color w:val="auto"/>
          <w:highlight w:val="none"/>
          <w:lang w:val="en-US" w:eastAsia="zh-CN"/>
        </w:rPr>
        <w:t>3</w:t>
      </w:r>
      <w:r>
        <w:rPr>
          <w:rFonts w:hint="eastAsia"/>
          <w:color w:val="auto"/>
          <w:highlight w:val="none"/>
        </w:rPr>
        <w:t>)投标人没有处于被责令停业或破产状态，且资产未被重组、接管和冻结，声明在投标活动中3年内没有重大违法活动和涉嫌违规行为(</w:t>
      </w:r>
      <w:r>
        <w:rPr>
          <w:rFonts w:hint="eastAsia"/>
          <w:b/>
          <w:bCs/>
          <w:color w:val="auto"/>
          <w:highlight w:val="none"/>
        </w:rPr>
        <w:t>提供承诺函证明</w:t>
      </w:r>
      <w:r>
        <w:rPr>
          <w:rFonts w:hint="eastAsia"/>
          <w:color w:val="auto"/>
          <w:highlight w:val="none"/>
        </w:rPr>
        <w:t>)。</w:t>
      </w:r>
    </w:p>
    <w:p w14:paraId="5B2675E0">
      <w:pPr>
        <w:pStyle w:val="6"/>
        <w:spacing w:before="0" w:beforeAutospacing="0" w:after="0" w:afterAutospacing="0" w:line="360" w:lineRule="auto"/>
        <w:ind w:firstLine="480" w:firstLineChars="200"/>
        <w:jc w:val="both"/>
        <w:rPr>
          <w:rFonts w:hint="eastAsia"/>
          <w:color w:val="auto"/>
          <w:highlight w:val="none"/>
        </w:rPr>
      </w:pPr>
      <w:r>
        <w:rPr>
          <w:rFonts w:hint="eastAsia"/>
          <w:color w:val="auto"/>
          <w:highlight w:val="none"/>
          <w:lang w:val="en-US" w:eastAsia="zh-CN"/>
        </w:rPr>
        <w:t>4</w:t>
      </w:r>
      <w:r>
        <w:rPr>
          <w:rFonts w:hint="eastAsia"/>
          <w:color w:val="auto"/>
          <w:highlight w:val="none"/>
        </w:rPr>
        <w:t>）单位负责人为同一人或者存在控股、管理关系的不同单位，不得同时参加同一项目投标。</w:t>
      </w:r>
    </w:p>
    <w:p w14:paraId="3DDB3281">
      <w:pPr>
        <w:pStyle w:val="6"/>
        <w:spacing w:before="0" w:beforeAutospacing="0" w:after="0" w:afterAutospacing="0" w:line="360" w:lineRule="auto"/>
        <w:ind w:firstLine="480" w:firstLineChars="200"/>
        <w:jc w:val="both"/>
        <w:rPr>
          <w:rFonts w:hint="eastAsia"/>
          <w:color w:val="auto"/>
          <w:highlight w:val="none"/>
        </w:rPr>
      </w:pPr>
      <w:r>
        <w:rPr>
          <w:rFonts w:hint="eastAsia"/>
          <w:color w:val="auto"/>
          <w:highlight w:val="none"/>
          <w:lang w:val="en-US" w:eastAsia="zh-CN"/>
        </w:rPr>
        <w:t>5</w:t>
      </w:r>
      <w:r>
        <w:rPr>
          <w:rFonts w:hint="eastAsia"/>
          <w:color w:val="auto"/>
          <w:highlight w:val="none"/>
        </w:rPr>
        <w:t>)投标人不得存在下列情形之一：</w:t>
      </w:r>
    </w:p>
    <w:p w14:paraId="1628FFA8">
      <w:pPr>
        <w:pStyle w:val="6"/>
        <w:spacing w:before="0" w:beforeAutospacing="0" w:after="0" w:afterAutospacing="0" w:line="360" w:lineRule="auto"/>
        <w:ind w:firstLine="480" w:firstLineChars="200"/>
        <w:jc w:val="both"/>
        <w:rPr>
          <w:rFonts w:hint="eastAsia"/>
          <w:color w:val="auto"/>
          <w:highlight w:val="none"/>
        </w:rPr>
      </w:pPr>
      <w:r>
        <w:rPr>
          <w:rFonts w:hint="eastAsia"/>
          <w:color w:val="auto"/>
          <w:highlight w:val="none"/>
        </w:rPr>
        <w:t>(1)在国家企业信用信息公示系统(http://www.gsxt.gov.cn) 中被列入严重违法失信企业名单</w:t>
      </w:r>
      <w:r>
        <w:rPr>
          <w:rFonts w:hint="eastAsia"/>
          <w:b/>
          <w:bCs/>
          <w:color w:val="auto"/>
          <w:highlight w:val="none"/>
          <w:lang w:eastAsia="zh-CN"/>
        </w:rPr>
        <w:t>，</w:t>
      </w:r>
      <w:r>
        <w:rPr>
          <w:rFonts w:hint="eastAsia"/>
          <w:b/>
          <w:bCs/>
          <w:color w:val="auto"/>
          <w:highlight w:val="none"/>
          <w:lang w:val="en-US" w:eastAsia="zh-CN"/>
        </w:rPr>
        <w:t>需提供网站查询截图</w:t>
      </w:r>
      <w:r>
        <w:rPr>
          <w:rFonts w:hint="eastAsia"/>
          <w:color w:val="auto"/>
          <w:highlight w:val="none"/>
        </w:rPr>
        <w:t>;</w:t>
      </w:r>
    </w:p>
    <w:p w14:paraId="5C24B815">
      <w:pPr>
        <w:pStyle w:val="6"/>
        <w:spacing w:before="0" w:beforeAutospacing="0" w:after="0" w:afterAutospacing="0" w:line="360" w:lineRule="auto"/>
        <w:ind w:firstLine="480" w:firstLineChars="200"/>
        <w:jc w:val="both"/>
        <w:rPr>
          <w:rFonts w:hint="eastAsia"/>
          <w:color w:val="auto"/>
          <w:highlight w:val="none"/>
        </w:rPr>
      </w:pPr>
      <w:r>
        <w:rPr>
          <w:rFonts w:hint="eastAsia"/>
          <w:color w:val="auto"/>
          <w:highlight w:val="none"/>
        </w:rPr>
        <w:t>(2)在“信用中国”网站(http://www.creditchina.gov.cn) 中被列入失信被执行人名单</w:t>
      </w:r>
      <w:r>
        <w:rPr>
          <w:rFonts w:hint="eastAsia"/>
          <w:b/>
          <w:bCs/>
          <w:color w:val="auto"/>
          <w:highlight w:val="none"/>
          <w:lang w:eastAsia="zh-CN"/>
        </w:rPr>
        <w:t>，</w:t>
      </w:r>
      <w:r>
        <w:rPr>
          <w:rFonts w:hint="eastAsia"/>
          <w:b/>
          <w:bCs/>
          <w:color w:val="auto"/>
          <w:highlight w:val="none"/>
          <w:lang w:val="en-US" w:eastAsia="zh-CN"/>
        </w:rPr>
        <w:t>需提供网站查询截图</w:t>
      </w:r>
      <w:r>
        <w:rPr>
          <w:rFonts w:hint="eastAsia"/>
          <w:color w:val="auto"/>
          <w:highlight w:val="none"/>
        </w:rPr>
        <w:t>;</w:t>
      </w:r>
    </w:p>
    <w:p w14:paraId="7C0DC238">
      <w:pPr>
        <w:pStyle w:val="6"/>
        <w:spacing w:before="0" w:beforeAutospacing="0" w:after="0" w:afterAutospacing="0" w:line="360" w:lineRule="auto"/>
        <w:ind w:firstLine="480" w:firstLineChars="200"/>
        <w:jc w:val="both"/>
        <w:rPr>
          <w:rFonts w:hint="eastAsia"/>
          <w:color w:val="auto"/>
          <w:highlight w:val="none"/>
        </w:rPr>
      </w:pPr>
      <w:r>
        <w:rPr>
          <w:rFonts w:hint="eastAsia"/>
          <w:color w:val="auto"/>
          <w:highlight w:val="none"/>
          <w:lang w:val="en-US" w:eastAsia="zh-CN"/>
        </w:rPr>
        <w:t>6</w:t>
      </w:r>
      <w:r>
        <w:rPr>
          <w:rFonts w:hint="eastAsia"/>
          <w:color w:val="auto"/>
          <w:highlight w:val="none"/>
        </w:rPr>
        <w:t>)本项目不接受联合体投标。</w:t>
      </w:r>
    </w:p>
    <w:p w14:paraId="25F2432E">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highlight w:val="none"/>
          <w:em w:val="dot"/>
        </w:rPr>
      </w:pPr>
      <w:r>
        <w:rPr>
          <w:rFonts w:hint="eastAsia"/>
          <w:color w:val="auto"/>
          <w:highlight w:val="none"/>
        </w:rPr>
        <w:t>1</w:t>
      </w:r>
      <w:r>
        <w:rPr>
          <w:rFonts w:hint="eastAsia"/>
          <w:color w:val="auto"/>
          <w:highlight w:val="none"/>
          <w:lang w:val="en-US" w:eastAsia="zh-CN"/>
        </w:rPr>
        <w:t>5</w:t>
      </w:r>
      <w:r>
        <w:rPr>
          <w:rFonts w:hint="eastAsia"/>
          <w:color w:val="auto"/>
          <w:highlight w:val="none"/>
        </w:rPr>
        <w:t>．投标文件必须在投标截止时间之前由投标人送达至广州市越秀区东风中路437号越秀城市广场南塔20楼2002室。</w:t>
      </w:r>
    </w:p>
    <w:p w14:paraId="599CD69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highlight w:val="none"/>
        </w:rPr>
      </w:pPr>
      <w:r>
        <w:rPr>
          <w:rFonts w:hint="eastAsia"/>
          <w:color w:val="auto"/>
          <w:highlight w:val="none"/>
        </w:rPr>
        <w:t>1</w:t>
      </w:r>
      <w:r>
        <w:rPr>
          <w:rFonts w:hint="eastAsia"/>
          <w:color w:val="auto"/>
          <w:highlight w:val="none"/>
          <w:lang w:val="en-US" w:eastAsia="zh-CN"/>
        </w:rPr>
        <w:t>6</w:t>
      </w:r>
      <w:r>
        <w:rPr>
          <w:rFonts w:hint="eastAsia"/>
          <w:color w:val="auto"/>
          <w:highlight w:val="none"/>
        </w:rPr>
        <w:t>．勘察现场：请投标人自行勘察现场。</w:t>
      </w:r>
    </w:p>
    <w:p w14:paraId="7133FAA0">
      <w:pPr>
        <w:pStyle w:val="6"/>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highlight w:val="none"/>
        </w:rPr>
      </w:pPr>
      <w:r>
        <w:rPr>
          <w:rFonts w:hint="eastAsia"/>
          <w:color w:val="auto"/>
          <w:highlight w:val="none"/>
        </w:rPr>
        <w:t>1</w:t>
      </w:r>
      <w:r>
        <w:rPr>
          <w:rFonts w:hint="eastAsia"/>
          <w:color w:val="auto"/>
          <w:highlight w:val="none"/>
          <w:lang w:val="en-US" w:eastAsia="zh-CN"/>
        </w:rPr>
        <w:t>7</w:t>
      </w:r>
      <w:r>
        <w:rPr>
          <w:rFonts w:hint="eastAsia"/>
          <w:color w:val="auto"/>
          <w:highlight w:val="none"/>
        </w:rPr>
        <w:t>. 本公告及本公告的修改和补充在广州国企阳光采购信息发布平台（网址：http://ygcg.gzggzy.cn）、中国招标投标公共服务平台（网址：http://www.cebpubservice.com）、广州市市政集团有限公司网站（http://www.gzsz.com.cn）和广州市市政工程监理有限公司（网址：http://www.gzszjl.com）发布。本公告在各媒体发布的文本如有不同之处，以在广州市市政工程监理有限公司发布的文本为准。</w:t>
      </w:r>
    </w:p>
    <w:p w14:paraId="6CD96F4A">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highlight w:val="none"/>
        </w:rPr>
      </w:pPr>
      <w:r>
        <w:rPr>
          <w:rFonts w:hint="eastAsia"/>
          <w:color w:val="auto"/>
          <w:highlight w:val="none"/>
        </w:rPr>
        <w:t>1</w:t>
      </w:r>
      <w:r>
        <w:rPr>
          <w:rFonts w:hint="eastAsia"/>
          <w:color w:val="auto"/>
          <w:highlight w:val="none"/>
          <w:lang w:val="en-US" w:eastAsia="zh-CN"/>
        </w:rPr>
        <w:t>8</w:t>
      </w:r>
      <w:r>
        <w:rPr>
          <w:rFonts w:hint="eastAsia"/>
          <w:color w:val="auto"/>
          <w:highlight w:val="none"/>
        </w:rPr>
        <w:t>．</w:t>
      </w:r>
      <w:r>
        <w:rPr>
          <w:color w:val="auto"/>
          <w:highlight w:val="none"/>
        </w:rPr>
        <w:t>招标人及联系方式：</w:t>
      </w:r>
    </w:p>
    <w:p w14:paraId="273700E4">
      <w:pPr>
        <w:pStyle w:val="6"/>
        <w:spacing w:before="0" w:beforeAutospacing="0" w:after="0" w:afterAutospacing="0" w:line="360" w:lineRule="auto"/>
        <w:jc w:val="both"/>
        <w:rPr>
          <w:rFonts w:hint="eastAsia"/>
          <w:color w:val="auto"/>
          <w:highlight w:val="none"/>
        </w:rPr>
      </w:pPr>
      <w:r>
        <w:rPr>
          <w:color w:val="auto"/>
          <w:highlight w:val="none"/>
        </w:rPr>
        <w:t>招标人名称：</w:t>
      </w:r>
      <w:r>
        <w:rPr>
          <w:rFonts w:hint="eastAsia"/>
          <w:color w:val="auto"/>
          <w:highlight w:val="none"/>
        </w:rPr>
        <w:t>广建（广州）地产开发有限公司</w:t>
      </w:r>
    </w:p>
    <w:p w14:paraId="27A6C83B">
      <w:pPr>
        <w:pStyle w:val="6"/>
        <w:spacing w:before="0" w:beforeAutospacing="0" w:after="0" w:afterAutospacing="0" w:line="360" w:lineRule="auto"/>
        <w:jc w:val="both"/>
        <w:rPr>
          <w:rFonts w:hint="eastAsia"/>
          <w:color w:val="auto"/>
          <w:highlight w:val="none"/>
        </w:rPr>
      </w:pPr>
      <w:r>
        <w:rPr>
          <w:color w:val="auto"/>
          <w:highlight w:val="none"/>
        </w:rPr>
        <w:t>地址：</w:t>
      </w:r>
      <w:r>
        <w:rPr>
          <w:rFonts w:hint="eastAsia"/>
          <w:color w:val="auto"/>
          <w:highlight w:val="none"/>
        </w:rPr>
        <w:t>广州市环市东路338号银政大厦5楼</w:t>
      </w:r>
    </w:p>
    <w:p w14:paraId="6064AB97">
      <w:pPr>
        <w:pStyle w:val="6"/>
        <w:spacing w:before="0" w:beforeAutospacing="0" w:after="0" w:afterAutospacing="0" w:line="360" w:lineRule="auto"/>
        <w:jc w:val="both"/>
        <w:rPr>
          <w:rFonts w:hint="eastAsia"/>
          <w:color w:val="auto"/>
          <w:highlight w:val="none"/>
        </w:rPr>
      </w:pPr>
      <w:r>
        <w:rPr>
          <w:color w:val="auto"/>
          <w:highlight w:val="none"/>
        </w:rPr>
        <w:t>联系人：</w:t>
      </w:r>
      <w:r>
        <w:rPr>
          <w:rFonts w:hint="eastAsia"/>
          <w:color w:val="auto"/>
          <w:highlight w:val="none"/>
        </w:rPr>
        <w:t>陈工</w:t>
      </w:r>
      <w:r>
        <w:rPr>
          <w:rFonts w:hint="eastAsia"/>
          <w:color w:val="auto"/>
          <w:highlight w:val="none"/>
        </w:rPr>
        <w:tab/>
      </w:r>
      <w:r>
        <w:rPr>
          <w:rFonts w:hint="eastAsia"/>
          <w:color w:val="auto"/>
          <w:highlight w:val="none"/>
        </w:rPr>
        <w:t xml:space="preserve">         </w:t>
      </w:r>
      <w:r>
        <w:rPr>
          <w:color w:val="auto"/>
          <w:highlight w:val="none"/>
        </w:rPr>
        <w:t>电话：</w:t>
      </w:r>
      <w:r>
        <w:rPr>
          <w:rFonts w:hint="eastAsia"/>
          <w:color w:val="auto"/>
          <w:highlight w:val="none"/>
        </w:rPr>
        <w:t xml:space="preserve">020-87093015   </w:t>
      </w:r>
    </w:p>
    <w:p w14:paraId="071414DA">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highlight w:val="none"/>
        </w:rPr>
      </w:pPr>
      <w:r>
        <w:rPr>
          <w:rFonts w:hint="eastAsia"/>
          <w:color w:val="auto"/>
          <w:highlight w:val="none"/>
          <w:lang w:val="en-US" w:eastAsia="zh-CN"/>
        </w:rPr>
        <w:t>19</w:t>
      </w:r>
      <w:r>
        <w:rPr>
          <w:rFonts w:hint="eastAsia"/>
          <w:color w:val="auto"/>
          <w:highlight w:val="none"/>
        </w:rPr>
        <w:t>．</w:t>
      </w:r>
      <w:r>
        <w:rPr>
          <w:color w:val="auto"/>
          <w:highlight w:val="none"/>
        </w:rPr>
        <w:t>招标</w:t>
      </w:r>
      <w:r>
        <w:rPr>
          <w:rFonts w:hint="eastAsia"/>
          <w:color w:val="auto"/>
          <w:highlight w:val="none"/>
        </w:rPr>
        <w:t>代理机构</w:t>
      </w:r>
      <w:r>
        <w:rPr>
          <w:color w:val="auto"/>
          <w:highlight w:val="none"/>
        </w:rPr>
        <w:t>及联系方式：</w:t>
      </w:r>
    </w:p>
    <w:p w14:paraId="0192D909">
      <w:pPr>
        <w:pStyle w:val="6"/>
        <w:spacing w:before="0" w:beforeAutospacing="0" w:after="0" w:afterAutospacing="0" w:line="360" w:lineRule="auto"/>
        <w:jc w:val="both"/>
        <w:rPr>
          <w:rFonts w:hint="eastAsia"/>
          <w:color w:val="auto"/>
          <w:highlight w:val="none"/>
        </w:rPr>
      </w:pPr>
      <w:r>
        <w:rPr>
          <w:rFonts w:hint="eastAsia"/>
          <w:color w:val="auto"/>
          <w:highlight w:val="none"/>
        </w:rPr>
        <w:t>招标代理机构：广州市市政工程监理有限公司</w:t>
      </w:r>
    </w:p>
    <w:p w14:paraId="2CCB631E">
      <w:pPr>
        <w:pStyle w:val="6"/>
        <w:spacing w:before="0" w:beforeAutospacing="0" w:after="0" w:afterAutospacing="0" w:line="360" w:lineRule="auto"/>
        <w:jc w:val="both"/>
        <w:rPr>
          <w:rFonts w:hint="eastAsia"/>
          <w:color w:val="auto"/>
          <w:highlight w:val="none"/>
        </w:rPr>
      </w:pPr>
      <w:r>
        <w:rPr>
          <w:rFonts w:hint="eastAsia"/>
          <w:color w:val="auto"/>
          <w:highlight w:val="none"/>
        </w:rPr>
        <w:t>地址：广州市越秀区东风中路437号越秀城市广场南塔38楼</w:t>
      </w:r>
    </w:p>
    <w:p w14:paraId="1125FDE4">
      <w:pPr>
        <w:pStyle w:val="6"/>
        <w:spacing w:before="0" w:beforeAutospacing="0" w:after="0" w:afterAutospacing="0" w:line="360" w:lineRule="auto"/>
        <w:jc w:val="both"/>
        <w:rPr>
          <w:rFonts w:hint="eastAsia"/>
          <w:color w:val="auto"/>
          <w:highlight w:val="none"/>
        </w:rPr>
      </w:pPr>
      <w:r>
        <w:rPr>
          <w:rFonts w:hint="eastAsia"/>
          <w:color w:val="auto"/>
          <w:highlight w:val="none"/>
        </w:rPr>
        <w:t>联系人：</w:t>
      </w:r>
      <w:r>
        <w:rPr>
          <w:rFonts w:hint="eastAsia"/>
          <w:color w:val="auto"/>
          <w:highlight w:val="none"/>
          <w:lang w:eastAsia="zh-CN"/>
        </w:rPr>
        <w:t>王工</w:t>
      </w:r>
      <w:r>
        <w:rPr>
          <w:rFonts w:hint="eastAsia"/>
          <w:color w:val="auto"/>
          <w:highlight w:val="none"/>
        </w:rPr>
        <w:t xml:space="preserve">       电话：020-83313605</w:t>
      </w:r>
    </w:p>
    <w:p w14:paraId="51226F02">
      <w:pPr>
        <w:pStyle w:val="6"/>
        <w:spacing w:before="0" w:beforeAutospacing="0" w:after="0" w:afterAutospacing="0" w:line="360" w:lineRule="auto"/>
        <w:rPr>
          <w:rFonts w:hint="eastAsia"/>
          <w:color w:val="auto"/>
          <w:highlight w:val="none"/>
        </w:rPr>
      </w:pPr>
      <w:r>
        <w:rPr>
          <w:rFonts w:hint="eastAsia"/>
          <w:color w:val="auto"/>
          <w:highlight w:val="none"/>
        </w:rPr>
        <w:t>电子邮件：</w:t>
      </w:r>
      <w:r>
        <w:rPr>
          <w:rFonts w:hint="eastAsia"/>
          <w:color w:val="auto"/>
          <w:highlight w:val="none"/>
        </w:rPr>
        <w:fldChar w:fldCharType="begin"/>
      </w:r>
      <w:r>
        <w:rPr>
          <w:rFonts w:hint="eastAsia"/>
          <w:color w:val="auto"/>
          <w:highlight w:val="none"/>
        </w:rPr>
        <w:instrText xml:space="preserve"> HYPERLINK "mailto:gzszzb02@126.com" </w:instrText>
      </w:r>
      <w:r>
        <w:rPr>
          <w:rFonts w:hint="eastAsia"/>
          <w:color w:val="auto"/>
          <w:highlight w:val="none"/>
        </w:rPr>
        <w:fldChar w:fldCharType="separate"/>
      </w:r>
      <w:r>
        <w:rPr>
          <w:rFonts w:hint="eastAsia"/>
          <w:color w:val="auto"/>
          <w:highlight w:val="none"/>
          <w:lang w:eastAsia="zh-CN"/>
        </w:rPr>
        <w:t>1442388573@qq.com</w:t>
      </w:r>
      <w:r>
        <w:rPr>
          <w:rFonts w:hint="eastAsia"/>
          <w:color w:val="auto"/>
          <w:highlight w:val="none"/>
        </w:rPr>
        <w:fldChar w:fldCharType="end"/>
      </w:r>
      <w:bookmarkEnd w:id="0"/>
    </w:p>
    <w:p w14:paraId="06B9BA7D">
      <w:pPr>
        <w:rPr>
          <w:rFonts w:hint="eastAsia"/>
          <w:color w:val="auto"/>
          <w:highlight w:val="none"/>
        </w:rPr>
      </w:pPr>
      <w:r>
        <w:rPr>
          <w:rFonts w:hint="eastAsia"/>
          <w:color w:val="auto"/>
          <w:highlight w:val="none"/>
        </w:rPr>
        <w:br w:type="page"/>
      </w:r>
    </w:p>
    <w:p w14:paraId="07D2DA39">
      <w:pPr>
        <w:rPr>
          <w:rFonts w:hint="eastAsia" w:eastAsia="宋体"/>
          <w:b/>
          <w:bCs/>
          <w:color w:val="auto"/>
          <w:sz w:val="40"/>
          <w:szCs w:val="48"/>
          <w:highlight w:val="none"/>
          <w:lang w:eastAsia="zh-CN"/>
        </w:rPr>
      </w:pPr>
      <w:r>
        <w:rPr>
          <w:rFonts w:hint="eastAsia"/>
          <w:b/>
          <w:bCs/>
          <w:color w:val="auto"/>
          <w:sz w:val="40"/>
          <w:szCs w:val="48"/>
          <w:highlight w:val="none"/>
          <w:lang w:eastAsia="zh-CN"/>
        </w:rPr>
        <w:t>附件：</w:t>
      </w:r>
    </w:p>
    <w:tbl>
      <w:tblPr>
        <w:tblStyle w:val="8"/>
        <w:tblW w:w="8820" w:type="dxa"/>
        <w:jc w:val="center"/>
        <w:tblLayout w:type="fixed"/>
        <w:tblCellMar>
          <w:top w:w="0" w:type="dxa"/>
          <w:left w:w="108" w:type="dxa"/>
          <w:bottom w:w="0" w:type="dxa"/>
          <w:right w:w="108" w:type="dxa"/>
        </w:tblCellMar>
      </w:tblPr>
      <w:tblGrid>
        <w:gridCol w:w="1633"/>
        <w:gridCol w:w="2589"/>
        <w:gridCol w:w="1338"/>
        <w:gridCol w:w="547"/>
        <w:gridCol w:w="2713"/>
      </w:tblGrid>
      <w:tr w14:paraId="0F1071D4">
        <w:tblPrEx>
          <w:tblCellMar>
            <w:top w:w="0" w:type="dxa"/>
            <w:left w:w="108" w:type="dxa"/>
            <w:bottom w:w="0" w:type="dxa"/>
            <w:right w:w="108" w:type="dxa"/>
          </w:tblCellMar>
        </w:tblPrEx>
        <w:trPr>
          <w:trHeight w:val="727" w:hRule="atLeast"/>
          <w:jc w:val="center"/>
        </w:trPr>
        <w:tc>
          <w:tcPr>
            <w:tcW w:w="8820" w:type="dxa"/>
            <w:gridSpan w:val="5"/>
            <w:tcBorders>
              <w:top w:val="nil"/>
              <w:left w:val="nil"/>
              <w:bottom w:val="nil"/>
              <w:right w:val="nil"/>
            </w:tcBorders>
            <w:noWrap/>
            <w:vAlign w:val="center"/>
          </w:tcPr>
          <w:p w14:paraId="445A0196">
            <w:pPr>
              <w:widowControl/>
              <w:jc w:val="center"/>
              <w:textAlignment w:val="center"/>
              <w:rPr>
                <w:rFonts w:hint="eastAsia" w:ascii="宋体" w:hAnsi="宋体" w:cs="宋体"/>
                <w:b/>
                <w:bCs/>
                <w:color w:val="auto"/>
                <w:sz w:val="52"/>
                <w:szCs w:val="52"/>
                <w:highlight w:val="none"/>
              </w:rPr>
            </w:pPr>
            <w:r>
              <w:rPr>
                <w:rFonts w:hint="eastAsia" w:ascii="宋体" w:hAnsi="宋体" w:cs="宋体"/>
                <w:b/>
                <w:bCs/>
                <w:color w:val="auto"/>
                <w:kern w:val="0"/>
                <w:sz w:val="40"/>
                <w:szCs w:val="40"/>
                <w:highlight w:val="none"/>
                <w:lang w:bidi="ar"/>
              </w:rPr>
              <w:t>投标登记申请表</w:t>
            </w:r>
          </w:p>
        </w:tc>
      </w:tr>
      <w:tr w14:paraId="51A3134E">
        <w:tblPrEx>
          <w:tblCellMar>
            <w:top w:w="0" w:type="dxa"/>
            <w:left w:w="108" w:type="dxa"/>
            <w:bottom w:w="0" w:type="dxa"/>
            <w:right w:w="108" w:type="dxa"/>
          </w:tblCellMar>
        </w:tblPrEx>
        <w:trPr>
          <w:trHeight w:val="484" w:hRule="atLeast"/>
          <w:jc w:val="center"/>
        </w:trPr>
        <w:tc>
          <w:tcPr>
            <w:tcW w:w="1633" w:type="dxa"/>
            <w:tcBorders>
              <w:top w:val="nil"/>
              <w:left w:val="nil"/>
              <w:bottom w:val="nil"/>
              <w:right w:val="nil"/>
            </w:tcBorders>
            <w:noWrap/>
            <w:vAlign w:val="center"/>
          </w:tcPr>
          <w:p w14:paraId="4B175CDE">
            <w:pPr>
              <w:rPr>
                <w:rFonts w:hint="eastAsia" w:ascii="宋体" w:hAnsi="宋体" w:cs="宋体"/>
                <w:color w:val="auto"/>
                <w:sz w:val="22"/>
                <w:szCs w:val="22"/>
                <w:highlight w:val="none"/>
              </w:rPr>
            </w:pPr>
          </w:p>
        </w:tc>
        <w:tc>
          <w:tcPr>
            <w:tcW w:w="2589" w:type="dxa"/>
            <w:tcBorders>
              <w:top w:val="nil"/>
              <w:left w:val="nil"/>
              <w:bottom w:val="nil"/>
              <w:right w:val="nil"/>
            </w:tcBorders>
            <w:noWrap/>
            <w:vAlign w:val="center"/>
          </w:tcPr>
          <w:p w14:paraId="30941822">
            <w:pPr>
              <w:rPr>
                <w:rFonts w:hint="eastAsia" w:ascii="宋体" w:hAnsi="宋体" w:cs="宋体"/>
                <w:color w:val="auto"/>
                <w:sz w:val="22"/>
                <w:szCs w:val="22"/>
                <w:highlight w:val="none"/>
              </w:rPr>
            </w:pPr>
          </w:p>
        </w:tc>
        <w:tc>
          <w:tcPr>
            <w:tcW w:w="1338" w:type="dxa"/>
            <w:tcBorders>
              <w:top w:val="nil"/>
              <w:left w:val="nil"/>
              <w:bottom w:val="nil"/>
              <w:right w:val="nil"/>
            </w:tcBorders>
            <w:noWrap/>
            <w:vAlign w:val="center"/>
          </w:tcPr>
          <w:p w14:paraId="5111C888">
            <w:pPr>
              <w:rPr>
                <w:rFonts w:hint="eastAsia" w:ascii="宋体" w:hAnsi="宋体" w:cs="宋体"/>
                <w:color w:val="auto"/>
                <w:sz w:val="22"/>
                <w:szCs w:val="22"/>
                <w:highlight w:val="none"/>
              </w:rPr>
            </w:pPr>
          </w:p>
        </w:tc>
        <w:tc>
          <w:tcPr>
            <w:tcW w:w="3260" w:type="dxa"/>
            <w:gridSpan w:val="2"/>
            <w:tcBorders>
              <w:top w:val="nil"/>
              <w:left w:val="nil"/>
              <w:bottom w:val="nil"/>
              <w:right w:val="nil"/>
            </w:tcBorders>
            <w:noWrap/>
            <w:vAlign w:val="center"/>
          </w:tcPr>
          <w:p w14:paraId="5E91D9D0">
            <w:pPr>
              <w:widowControl/>
              <w:jc w:val="center"/>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 xml:space="preserve">     年     月     日</w:t>
            </w:r>
          </w:p>
        </w:tc>
      </w:tr>
      <w:tr w14:paraId="2E819F63">
        <w:tblPrEx>
          <w:tblCellMar>
            <w:top w:w="0" w:type="dxa"/>
            <w:left w:w="108" w:type="dxa"/>
            <w:bottom w:w="0" w:type="dxa"/>
            <w:right w:w="108" w:type="dxa"/>
          </w:tblCellMar>
        </w:tblPrEx>
        <w:trPr>
          <w:trHeight w:val="1060" w:hRule="atLeast"/>
          <w:jc w:val="center"/>
        </w:trPr>
        <w:tc>
          <w:tcPr>
            <w:tcW w:w="1633" w:type="dxa"/>
            <w:tcBorders>
              <w:top w:val="single" w:color="000000" w:sz="4" w:space="0"/>
              <w:left w:val="single" w:color="000000" w:sz="4" w:space="0"/>
              <w:bottom w:val="single" w:color="000000" w:sz="4" w:space="0"/>
              <w:right w:val="single" w:color="000000" w:sz="4" w:space="0"/>
            </w:tcBorders>
            <w:noWrap/>
            <w:vAlign w:val="center"/>
          </w:tcPr>
          <w:p w14:paraId="08D3E85A">
            <w:pPr>
              <w:widowControl/>
              <w:jc w:val="center"/>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项目名称</w:t>
            </w:r>
          </w:p>
        </w:tc>
        <w:tc>
          <w:tcPr>
            <w:tcW w:w="2589" w:type="dxa"/>
            <w:tcBorders>
              <w:top w:val="single" w:color="000000" w:sz="4" w:space="0"/>
              <w:left w:val="single" w:color="000000" w:sz="4" w:space="0"/>
              <w:bottom w:val="single" w:color="000000" w:sz="4" w:space="0"/>
              <w:right w:val="single" w:color="auto" w:sz="4" w:space="0"/>
            </w:tcBorders>
            <w:noWrap/>
            <w:vAlign w:val="center"/>
          </w:tcPr>
          <w:p w14:paraId="02ADB4B6">
            <w:pPr>
              <w:jc w:val="center"/>
              <w:rPr>
                <w:rFonts w:hint="eastAsia" w:ascii="宋体" w:hAnsi="宋体" w:cs="宋体"/>
                <w:color w:val="auto"/>
                <w:sz w:val="24"/>
                <w:highlight w:val="none"/>
              </w:rPr>
            </w:pPr>
            <w:r>
              <w:rPr>
                <w:rFonts w:hint="eastAsia" w:ascii="宋体" w:hAnsi="宋体" w:cs="宋体"/>
                <w:color w:val="auto"/>
                <w:sz w:val="24"/>
                <w:highlight w:val="none"/>
              </w:rPr>
              <w:t>市政·观璟项目渠道分销服务项目</w:t>
            </w:r>
          </w:p>
        </w:tc>
        <w:tc>
          <w:tcPr>
            <w:tcW w:w="1885" w:type="dxa"/>
            <w:gridSpan w:val="2"/>
            <w:tcBorders>
              <w:top w:val="single" w:color="000000" w:sz="4" w:space="0"/>
              <w:left w:val="single" w:color="auto" w:sz="4" w:space="0"/>
              <w:bottom w:val="single" w:color="000000" w:sz="4" w:space="0"/>
              <w:right w:val="single" w:color="000000" w:sz="4" w:space="0"/>
            </w:tcBorders>
            <w:noWrap/>
            <w:vAlign w:val="center"/>
          </w:tcPr>
          <w:p w14:paraId="01F8FD29">
            <w:pPr>
              <w:widowControl/>
              <w:jc w:val="center"/>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项目编号</w:t>
            </w:r>
          </w:p>
        </w:tc>
        <w:tc>
          <w:tcPr>
            <w:tcW w:w="2713" w:type="dxa"/>
            <w:tcBorders>
              <w:top w:val="single" w:color="000000" w:sz="4" w:space="0"/>
              <w:left w:val="single" w:color="000000" w:sz="4" w:space="0"/>
              <w:bottom w:val="single" w:color="000000" w:sz="4" w:space="0"/>
              <w:right w:val="single" w:color="000000" w:sz="4" w:space="0"/>
            </w:tcBorders>
            <w:noWrap w:val="0"/>
            <w:vAlign w:val="center"/>
          </w:tcPr>
          <w:p w14:paraId="0AA55029">
            <w:pPr>
              <w:jc w:val="center"/>
              <w:rPr>
                <w:rFonts w:hint="eastAsia" w:ascii="宋体" w:hAnsi="宋体" w:cs="宋体"/>
                <w:color w:val="auto"/>
                <w:sz w:val="24"/>
                <w:highlight w:val="none"/>
              </w:rPr>
            </w:pPr>
            <w:r>
              <w:rPr>
                <w:rFonts w:hint="eastAsia" w:ascii="宋体" w:hAnsi="宋体" w:cs="宋体"/>
                <w:color w:val="auto"/>
                <w:sz w:val="24"/>
                <w:highlight w:val="none"/>
              </w:rPr>
              <w:t>/</w:t>
            </w:r>
          </w:p>
        </w:tc>
      </w:tr>
      <w:tr w14:paraId="5B232A01">
        <w:tblPrEx>
          <w:tblCellMar>
            <w:top w:w="0" w:type="dxa"/>
            <w:left w:w="108" w:type="dxa"/>
            <w:bottom w:w="0" w:type="dxa"/>
            <w:right w:w="108" w:type="dxa"/>
          </w:tblCellMar>
        </w:tblPrEx>
        <w:trPr>
          <w:trHeight w:val="1078" w:hRule="atLeast"/>
          <w:jc w:val="center"/>
        </w:trPr>
        <w:tc>
          <w:tcPr>
            <w:tcW w:w="1633" w:type="dxa"/>
            <w:tcBorders>
              <w:top w:val="single" w:color="000000" w:sz="4" w:space="0"/>
              <w:left w:val="single" w:color="000000" w:sz="4" w:space="0"/>
              <w:bottom w:val="single" w:color="000000" w:sz="4" w:space="0"/>
              <w:right w:val="single" w:color="000000" w:sz="4" w:space="0"/>
            </w:tcBorders>
            <w:noWrap w:val="0"/>
            <w:vAlign w:val="center"/>
          </w:tcPr>
          <w:p w14:paraId="5A29CD7E">
            <w:pPr>
              <w:widowControl/>
              <w:jc w:val="center"/>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投标人名称</w:t>
            </w:r>
          </w:p>
        </w:tc>
        <w:tc>
          <w:tcPr>
            <w:tcW w:w="7187" w:type="dxa"/>
            <w:gridSpan w:val="4"/>
            <w:tcBorders>
              <w:top w:val="single" w:color="000000" w:sz="4" w:space="0"/>
              <w:left w:val="single" w:color="000000" w:sz="4" w:space="0"/>
              <w:bottom w:val="single" w:color="000000" w:sz="4" w:space="0"/>
              <w:right w:val="single" w:color="000000" w:sz="4" w:space="0"/>
            </w:tcBorders>
            <w:noWrap/>
            <w:vAlign w:val="center"/>
          </w:tcPr>
          <w:p w14:paraId="072CC5B9">
            <w:pPr>
              <w:jc w:val="center"/>
              <w:rPr>
                <w:rFonts w:hint="eastAsia" w:ascii="宋体" w:hAnsi="宋体" w:cs="宋体"/>
                <w:color w:val="auto"/>
                <w:sz w:val="24"/>
                <w:highlight w:val="none"/>
              </w:rPr>
            </w:pPr>
          </w:p>
        </w:tc>
      </w:tr>
      <w:tr w14:paraId="5E9EB219">
        <w:tblPrEx>
          <w:tblCellMar>
            <w:top w:w="0" w:type="dxa"/>
            <w:left w:w="108" w:type="dxa"/>
            <w:bottom w:w="0" w:type="dxa"/>
            <w:right w:w="108" w:type="dxa"/>
          </w:tblCellMar>
        </w:tblPrEx>
        <w:trPr>
          <w:trHeight w:val="1078" w:hRule="atLeast"/>
          <w:jc w:val="center"/>
        </w:trPr>
        <w:tc>
          <w:tcPr>
            <w:tcW w:w="1633" w:type="dxa"/>
            <w:tcBorders>
              <w:top w:val="single" w:color="000000" w:sz="4" w:space="0"/>
              <w:left w:val="single" w:color="000000" w:sz="4" w:space="0"/>
              <w:bottom w:val="single" w:color="000000" w:sz="4" w:space="0"/>
              <w:right w:val="single" w:color="000000" w:sz="4" w:space="0"/>
            </w:tcBorders>
            <w:noWrap w:val="0"/>
            <w:vAlign w:val="center"/>
          </w:tcPr>
          <w:p w14:paraId="072E8E11">
            <w:pPr>
              <w:widowControl/>
              <w:jc w:val="center"/>
              <w:textAlignment w:val="center"/>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法定代表人</w:t>
            </w:r>
          </w:p>
        </w:tc>
        <w:tc>
          <w:tcPr>
            <w:tcW w:w="2589" w:type="dxa"/>
            <w:tcBorders>
              <w:top w:val="single" w:color="000000" w:sz="4" w:space="0"/>
              <w:left w:val="single" w:color="000000" w:sz="4" w:space="0"/>
              <w:bottom w:val="single" w:color="000000" w:sz="4" w:space="0"/>
              <w:right w:val="single" w:color="auto" w:sz="4" w:space="0"/>
            </w:tcBorders>
            <w:noWrap/>
            <w:vAlign w:val="center"/>
          </w:tcPr>
          <w:p w14:paraId="2515B48D">
            <w:pPr>
              <w:jc w:val="center"/>
              <w:rPr>
                <w:rFonts w:hint="eastAsia" w:ascii="宋体" w:hAnsi="宋体" w:cs="宋体"/>
                <w:color w:val="auto"/>
                <w:sz w:val="24"/>
                <w:highlight w:val="none"/>
              </w:rPr>
            </w:pPr>
          </w:p>
        </w:tc>
        <w:tc>
          <w:tcPr>
            <w:tcW w:w="1885" w:type="dxa"/>
            <w:gridSpan w:val="2"/>
            <w:tcBorders>
              <w:top w:val="single" w:color="000000" w:sz="4" w:space="0"/>
              <w:left w:val="single" w:color="auto" w:sz="4" w:space="0"/>
              <w:bottom w:val="single" w:color="000000" w:sz="4" w:space="0"/>
              <w:right w:val="single" w:color="auto" w:sz="4" w:space="0"/>
            </w:tcBorders>
            <w:noWrap/>
            <w:vAlign w:val="center"/>
          </w:tcPr>
          <w:p w14:paraId="68F216FD">
            <w:pPr>
              <w:jc w:val="center"/>
              <w:rPr>
                <w:rFonts w:hint="eastAsia" w:ascii="宋体" w:hAnsi="宋体" w:cs="宋体"/>
                <w:color w:val="auto"/>
                <w:sz w:val="24"/>
                <w:highlight w:val="none"/>
              </w:rPr>
            </w:pPr>
            <w:r>
              <w:rPr>
                <w:rFonts w:hint="eastAsia" w:ascii="宋体" w:hAnsi="宋体" w:cs="宋体"/>
                <w:color w:val="auto"/>
                <w:kern w:val="0"/>
                <w:sz w:val="24"/>
                <w:highlight w:val="none"/>
                <w:lang w:bidi="ar"/>
              </w:rPr>
              <w:t>被授权人</w:t>
            </w:r>
          </w:p>
        </w:tc>
        <w:tc>
          <w:tcPr>
            <w:tcW w:w="2713" w:type="dxa"/>
            <w:tcBorders>
              <w:top w:val="single" w:color="000000" w:sz="4" w:space="0"/>
              <w:left w:val="single" w:color="auto" w:sz="4" w:space="0"/>
              <w:bottom w:val="single" w:color="000000" w:sz="4" w:space="0"/>
              <w:right w:val="single" w:color="000000" w:sz="4" w:space="0"/>
            </w:tcBorders>
            <w:noWrap/>
            <w:vAlign w:val="center"/>
          </w:tcPr>
          <w:p w14:paraId="7C5D39F7">
            <w:pPr>
              <w:jc w:val="center"/>
              <w:rPr>
                <w:rFonts w:hint="eastAsia" w:ascii="宋体" w:hAnsi="宋体" w:cs="宋体"/>
                <w:color w:val="auto"/>
                <w:sz w:val="24"/>
                <w:highlight w:val="none"/>
              </w:rPr>
            </w:pPr>
          </w:p>
        </w:tc>
      </w:tr>
      <w:tr w14:paraId="13698171">
        <w:tblPrEx>
          <w:tblCellMar>
            <w:top w:w="0" w:type="dxa"/>
            <w:left w:w="108" w:type="dxa"/>
            <w:bottom w:w="0" w:type="dxa"/>
            <w:right w:w="108" w:type="dxa"/>
          </w:tblCellMar>
        </w:tblPrEx>
        <w:trPr>
          <w:trHeight w:val="1078" w:hRule="atLeast"/>
          <w:jc w:val="center"/>
        </w:trPr>
        <w:tc>
          <w:tcPr>
            <w:tcW w:w="1633" w:type="dxa"/>
            <w:tcBorders>
              <w:top w:val="single" w:color="000000" w:sz="4" w:space="0"/>
              <w:left w:val="single" w:color="000000" w:sz="4" w:space="0"/>
              <w:bottom w:val="single" w:color="000000" w:sz="4" w:space="0"/>
              <w:right w:val="single" w:color="000000" w:sz="4" w:space="0"/>
            </w:tcBorders>
            <w:noWrap w:val="0"/>
            <w:vAlign w:val="center"/>
          </w:tcPr>
          <w:p w14:paraId="40EE642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邮箱</w:t>
            </w:r>
          </w:p>
        </w:tc>
        <w:tc>
          <w:tcPr>
            <w:tcW w:w="2589" w:type="dxa"/>
            <w:tcBorders>
              <w:top w:val="single" w:color="000000" w:sz="4" w:space="0"/>
              <w:left w:val="single" w:color="000000" w:sz="4" w:space="0"/>
              <w:bottom w:val="single" w:color="000000" w:sz="4" w:space="0"/>
              <w:right w:val="single" w:color="000000" w:sz="4" w:space="0"/>
            </w:tcBorders>
            <w:noWrap/>
            <w:vAlign w:val="center"/>
          </w:tcPr>
          <w:p w14:paraId="2E6FDF5F">
            <w:pPr>
              <w:jc w:val="center"/>
              <w:rPr>
                <w:rFonts w:hint="eastAsia" w:ascii="宋体" w:hAnsi="宋体" w:cs="宋体"/>
                <w:color w:val="auto"/>
                <w:sz w:val="24"/>
                <w:highlight w:val="none"/>
              </w:rPr>
            </w:pPr>
          </w:p>
        </w:tc>
        <w:tc>
          <w:tcPr>
            <w:tcW w:w="1885" w:type="dxa"/>
            <w:gridSpan w:val="2"/>
            <w:tcBorders>
              <w:top w:val="single" w:color="000000" w:sz="4" w:space="0"/>
              <w:left w:val="single" w:color="000000" w:sz="4" w:space="0"/>
              <w:bottom w:val="single" w:color="000000" w:sz="4" w:space="0"/>
              <w:right w:val="single" w:color="000000" w:sz="4" w:space="0"/>
            </w:tcBorders>
            <w:noWrap/>
            <w:vAlign w:val="center"/>
          </w:tcPr>
          <w:p w14:paraId="4E6DA54D">
            <w:pPr>
              <w:jc w:val="center"/>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联系电话</w:t>
            </w:r>
          </w:p>
        </w:tc>
        <w:tc>
          <w:tcPr>
            <w:tcW w:w="2713" w:type="dxa"/>
            <w:tcBorders>
              <w:top w:val="single" w:color="000000" w:sz="4" w:space="0"/>
              <w:left w:val="single" w:color="000000" w:sz="4" w:space="0"/>
              <w:bottom w:val="single" w:color="000000" w:sz="4" w:space="0"/>
              <w:right w:val="single" w:color="000000" w:sz="4" w:space="0"/>
            </w:tcBorders>
            <w:noWrap/>
            <w:vAlign w:val="center"/>
          </w:tcPr>
          <w:p w14:paraId="75B44C1C">
            <w:pPr>
              <w:jc w:val="center"/>
              <w:rPr>
                <w:rFonts w:hint="eastAsia" w:ascii="宋体" w:hAnsi="宋体" w:cs="宋体"/>
                <w:color w:val="auto"/>
                <w:sz w:val="24"/>
                <w:highlight w:val="none"/>
              </w:rPr>
            </w:pPr>
          </w:p>
        </w:tc>
      </w:tr>
      <w:tr w14:paraId="0E0C1444">
        <w:tblPrEx>
          <w:tblCellMar>
            <w:top w:w="0" w:type="dxa"/>
            <w:left w:w="108" w:type="dxa"/>
            <w:bottom w:w="0" w:type="dxa"/>
            <w:right w:w="108" w:type="dxa"/>
          </w:tblCellMar>
        </w:tblPrEx>
        <w:trPr>
          <w:trHeight w:val="1245" w:hRule="atLeast"/>
          <w:jc w:val="center"/>
        </w:trPr>
        <w:tc>
          <w:tcPr>
            <w:tcW w:w="1633" w:type="dxa"/>
            <w:tcBorders>
              <w:top w:val="single" w:color="000000" w:sz="4" w:space="0"/>
              <w:left w:val="single" w:color="000000" w:sz="4" w:space="0"/>
              <w:bottom w:val="single" w:color="000000" w:sz="4" w:space="0"/>
              <w:right w:val="single" w:color="000000" w:sz="4" w:space="0"/>
            </w:tcBorders>
            <w:noWrap/>
            <w:vAlign w:val="center"/>
          </w:tcPr>
          <w:p w14:paraId="16CC814D">
            <w:pPr>
              <w:widowControl/>
              <w:jc w:val="center"/>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投标人盖章</w:t>
            </w:r>
          </w:p>
        </w:tc>
        <w:tc>
          <w:tcPr>
            <w:tcW w:w="2589" w:type="dxa"/>
            <w:tcBorders>
              <w:top w:val="single" w:color="000000" w:sz="4" w:space="0"/>
              <w:left w:val="single" w:color="000000" w:sz="4" w:space="0"/>
              <w:bottom w:val="single" w:color="000000" w:sz="4" w:space="0"/>
              <w:right w:val="single" w:color="auto" w:sz="4" w:space="0"/>
            </w:tcBorders>
            <w:noWrap/>
            <w:vAlign w:val="center"/>
          </w:tcPr>
          <w:p w14:paraId="6F01A75E">
            <w:pPr>
              <w:jc w:val="center"/>
              <w:rPr>
                <w:rFonts w:hint="eastAsia" w:ascii="宋体" w:hAnsi="宋体" w:cs="宋体"/>
                <w:color w:val="auto"/>
                <w:sz w:val="24"/>
                <w:highlight w:val="none"/>
              </w:rPr>
            </w:pPr>
          </w:p>
        </w:tc>
        <w:tc>
          <w:tcPr>
            <w:tcW w:w="1885" w:type="dxa"/>
            <w:gridSpan w:val="2"/>
            <w:tcBorders>
              <w:top w:val="single" w:color="000000" w:sz="4" w:space="0"/>
              <w:left w:val="single" w:color="auto" w:sz="4" w:space="0"/>
              <w:bottom w:val="single" w:color="000000" w:sz="4" w:space="0"/>
              <w:right w:val="single" w:color="auto" w:sz="4" w:space="0"/>
            </w:tcBorders>
            <w:noWrap/>
            <w:vAlign w:val="center"/>
          </w:tcPr>
          <w:p w14:paraId="1B691F72">
            <w:pPr>
              <w:jc w:val="center"/>
              <w:rPr>
                <w:rFonts w:ascii="宋体" w:hAnsi="宋体" w:cs="宋体"/>
                <w:color w:val="auto"/>
                <w:sz w:val="24"/>
                <w:highlight w:val="none"/>
              </w:rPr>
            </w:pPr>
            <w:r>
              <w:rPr>
                <w:rFonts w:hint="eastAsia" w:ascii="宋体" w:hAnsi="宋体" w:cs="宋体"/>
                <w:color w:val="auto"/>
                <w:sz w:val="24"/>
                <w:highlight w:val="none"/>
              </w:rPr>
              <w:t>法定代表人（或授权人）签字</w:t>
            </w:r>
          </w:p>
        </w:tc>
        <w:tc>
          <w:tcPr>
            <w:tcW w:w="2713" w:type="dxa"/>
            <w:tcBorders>
              <w:top w:val="single" w:color="000000" w:sz="4" w:space="0"/>
              <w:left w:val="single" w:color="auto" w:sz="4" w:space="0"/>
              <w:bottom w:val="single" w:color="000000" w:sz="4" w:space="0"/>
              <w:right w:val="single" w:color="000000" w:sz="4" w:space="0"/>
            </w:tcBorders>
            <w:noWrap/>
            <w:vAlign w:val="center"/>
          </w:tcPr>
          <w:p w14:paraId="0982B2CC">
            <w:pPr>
              <w:jc w:val="center"/>
              <w:rPr>
                <w:rFonts w:hint="eastAsia" w:ascii="宋体" w:hAnsi="宋体" w:cs="宋体"/>
                <w:color w:val="auto"/>
                <w:sz w:val="24"/>
                <w:highlight w:val="none"/>
              </w:rPr>
            </w:pPr>
          </w:p>
        </w:tc>
      </w:tr>
    </w:tbl>
    <w:p w14:paraId="14943A66">
      <w:pPr>
        <w:pStyle w:val="6"/>
        <w:spacing w:before="0" w:beforeAutospacing="0" w:after="0" w:afterAutospacing="0" w:line="360" w:lineRule="auto"/>
        <w:rPr>
          <w:rFonts w:hint="eastAsia"/>
          <w:color w:val="auto"/>
          <w:highlight w:val="none"/>
        </w:rPr>
      </w:pPr>
    </w:p>
    <w:bookmarkEnd w:id="4"/>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EFBE9">
    <w:pPr>
      <w:pStyle w:val="4"/>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A30675A">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1A30675A">
                    <w:pPr>
                      <w:pStyle w:val="4"/>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mZmExZDllNzg1M2YyMTM4NTJmOTNkZWM1YmVkZWYifQ=="/>
  </w:docVars>
  <w:rsids>
    <w:rsidRoot w:val="00000000"/>
    <w:rsid w:val="079C4321"/>
    <w:rsid w:val="12BB4A82"/>
    <w:rsid w:val="13B82AA9"/>
    <w:rsid w:val="2DC32D8D"/>
    <w:rsid w:val="309C1FBB"/>
    <w:rsid w:val="38963B24"/>
    <w:rsid w:val="43367252"/>
    <w:rsid w:val="453C0F8B"/>
    <w:rsid w:val="45CA3E86"/>
    <w:rsid w:val="4F604023"/>
    <w:rsid w:val="542842C0"/>
    <w:rsid w:val="59FB5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bCs/>
      <w:kern w:val="44"/>
      <w:sz w:val="44"/>
      <w:szCs w:val="44"/>
    </w:rPr>
  </w:style>
  <w:style w:type="character" w:default="1" w:styleId="9">
    <w:name w:val="Default Paragraph Font"/>
    <w:qFormat/>
    <w:uiPriority w:val="0"/>
  </w:style>
  <w:style w:type="table" w:default="1" w:styleId="8">
    <w:name w:val="Normal Table"/>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First Indent"/>
    <w:basedOn w:val="3"/>
    <w:qFormat/>
    <w:uiPriority w:val="0"/>
    <w:pPr>
      <w:adjustRightInd w:val="0"/>
      <w:spacing w:line="312" w:lineRule="atLeast"/>
      <w:ind w:firstLine="420" w:firstLineChars="100"/>
      <w:textAlignment w:val="baseline"/>
    </w:pPr>
    <w:rPr>
      <w:sz w:val="24"/>
    </w:rPr>
  </w:style>
  <w:style w:type="paragraph" w:customStyle="1" w:styleId="10">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2246</Words>
  <Characters>2559</Characters>
  <Paragraphs>45</Paragraphs>
  <TotalTime>3</TotalTime>
  <ScaleCrop>false</ScaleCrop>
  <LinksUpToDate>false</LinksUpToDate>
  <CharactersWithSpaces>2603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2021-05-18T10:00:00Z</dcterms:created>
  <dc:creator>市政监理</dc:creator>
  <cp:lastModifiedBy>广州市市政工程监理有限公司[广州市市政工程监理有限公司]</cp:lastModifiedBy>
  <dcterms:modified xsi:type="dcterms:W3CDTF">2026-08-04T01:22:43Z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90FDCCD860A14AAC934D180FB6E71838_13</vt:lpwstr>
  </property>
  <property fmtid="{D5CDD505-2E9C-101B-9397-08002B2CF9AE}" pid="4" name="KSOTemplateDocerSaveRecord">
    <vt:lpwstr>eyJoZGlkIjoiMTM1ZDQwNWI5YzcxZmVjN2Q5MTUxYWY0ZTlkZTJlYmIiLCJ1c2VySWQiOiIyMDYzMTExODMifQ==</vt:lpwstr>
  </property>
</Properties>
</file>